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1F" w:rsidRDefault="00611E62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756544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9" o:title=""/>
            </v:shape>
            <v:shape id="_x0000_s38477" type="#_x0000_t75" style="position:absolute;left:5540;top:979;width:1570;height:859">
              <v:imagedata r:id="rId10" o:title=""/>
            </v:shape>
            <v:shape id="_x0000_s38478" type="#_x0000_t75" style="position:absolute;left:3082;top:979;width:1757;height:924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B2701F" w:rsidRDefault="00DA29CA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B2701F" w:rsidRDefault="00DA29CA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B2701F" w:rsidRDefault="00DA29CA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5290" r:id="rId12"/>
          <o:OLEObject Type="Embed" ProgID="MSPhotoEd.3" ShapeID="_x0000_s38477" DrawAspect="Content" ObjectID="_1552375291" r:id="rId13"/>
          <o:OLEObject Type="Embed" ProgID="MSPhotoEd.3" ShapeID="_x0000_s38478" DrawAspect="Content" ObjectID="_1552375292" r:id="rId14"/>
        </w:pict>
      </w: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color w:val="FF0000"/>
          <w:sz w:val="40"/>
          <w:szCs w:val="40"/>
          <w:rtl/>
        </w:rPr>
      </w:pPr>
    </w:p>
    <w:p w:rsidR="00B2701F" w:rsidRDefault="00B2701F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</w:p>
    <w:p w:rsidR="00CD2C90" w:rsidRDefault="00CD2C90" w:rsidP="00CD2C90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>
        <w:rPr>
          <w:rFonts w:hint="cs"/>
          <w:color w:val="FF0000"/>
          <w:sz w:val="48"/>
          <w:szCs w:val="48"/>
          <w:rtl/>
        </w:rPr>
        <w:t>37303 תשע"ב 2012</w:t>
      </w:r>
    </w:p>
    <w:p w:rsidR="00CD2C90" w:rsidRDefault="00CD2C90" w:rsidP="00CD2C90">
      <w:pPr>
        <w:pStyle w:val="Title"/>
        <w:tabs>
          <w:tab w:val="left" w:pos="1742"/>
        </w:tabs>
        <w:jc w:val="left"/>
        <w:rPr>
          <w:rFonts w:hint="cs"/>
          <w:color w:val="FF0000"/>
          <w:rtl/>
        </w:rPr>
      </w:pPr>
    </w:p>
    <w:p w:rsidR="00755125" w:rsidRPr="00423D70" w:rsidRDefault="00CD2C90" w:rsidP="00DD042C">
      <w:pPr>
        <w:pStyle w:val="Title"/>
        <w:tabs>
          <w:tab w:val="left" w:pos="1742"/>
        </w:tabs>
        <w:jc w:val="left"/>
        <w:rPr>
          <w:rFonts w:hint="cs"/>
          <w:color w:val="0000FF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</w:t>
      </w:r>
      <w:r w:rsidR="00DD042C">
        <w:rPr>
          <w:rFonts w:hint="cs"/>
          <w:color w:val="0000FF"/>
          <w:rtl/>
        </w:rPr>
        <w:t>ז</w:t>
      </w:r>
      <w:r>
        <w:rPr>
          <w:rFonts w:hint="cs"/>
          <w:color w:val="0000FF"/>
          <w:rtl/>
        </w:rPr>
        <w:t xml:space="preserve">'  </w:t>
      </w:r>
      <w:r w:rsidR="00DD042C">
        <w:rPr>
          <w:rFonts w:hint="cs"/>
          <w:rtl/>
        </w:rPr>
        <w:t>חומצות ובסיסים</w:t>
      </w:r>
      <w:r w:rsidR="00DA29CA">
        <w:rPr>
          <w:rFonts w:ascii="Times New Roman" w:hAnsi="Times New Roman" w:hint="cs"/>
          <w:color w:val="0000FF"/>
          <w:sz w:val="32"/>
          <w:szCs w:val="32"/>
          <w:rtl/>
        </w:rPr>
        <w:t xml:space="preserve">   </w:t>
      </w:r>
    </w:p>
    <w:p w:rsidR="00B2701F" w:rsidRDefault="00DA29CA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נתונות ארבע תמיסות מימיות:   </w:t>
      </w:r>
      <w:r>
        <w:rPr>
          <w:rFonts w:cs="David" w:hint="cs"/>
          <w:lang w:eastAsia="en-US"/>
        </w:rPr>
        <w:t>A</w:t>
      </w:r>
      <w:r>
        <w:rPr>
          <w:rFonts w:cs="David" w:hint="cs"/>
          <w:rtl/>
          <w:lang w:eastAsia="en-US"/>
        </w:rPr>
        <w:t xml:space="preserve"> , </w:t>
      </w:r>
      <w:r>
        <w:rPr>
          <w:rFonts w:cs="David" w:hint="cs"/>
          <w:lang w:eastAsia="en-US"/>
        </w:rPr>
        <w:t>B</w:t>
      </w:r>
      <w:r>
        <w:rPr>
          <w:rFonts w:cs="David" w:hint="cs"/>
          <w:rtl/>
          <w:lang w:eastAsia="en-US"/>
        </w:rPr>
        <w:t xml:space="preserve"> ,</w:t>
      </w:r>
      <w:r>
        <w:rPr>
          <w:rFonts w:cs="David" w:hint="cs"/>
          <w:lang w:eastAsia="en-US"/>
        </w:rPr>
        <w:t xml:space="preserve">C </w:t>
      </w:r>
      <w:r>
        <w:rPr>
          <w:rFonts w:cs="David" w:hint="cs"/>
          <w:rtl/>
          <w:lang w:eastAsia="en-US"/>
        </w:rPr>
        <w:t xml:space="preserve"> , </w:t>
      </w:r>
      <w:r>
        <w:rPr>
          <w:rFonts w:cs="David" w:hint="cs"/>
          <w:lang w:eastAsia="en-US"/>
        </w:rPr>
        <w:t>D</w:t>
      </w:r>
      <w:r>
        <w:rPr>
          <w:rFonts w:cs="David" w:hint="cs"/>
          <w:rtl/>
          <w:lang w:eastAsia="en-US"/>
        </w:rPr>
        <w:t xml:space="preserve"> .</w:t>
      </w:r>
    </w:p>
    <w:p w:rsidR="00B2701F" w:rsidRDefault="00B2701F">
      <w:pPr>
        <w:spacing w:line="360" w:lineRule="auto"/>
        <w:rPr>
          <w:rFonts w:cs="David"/>
          <w:sz w:val="16"/>
          <w:szCs w:val="16"/>
          <w:rtl/>
          <w:lang w:eastAsia="en-US"/>
        </w:rPr>
      </w:pPr>
    </w:p>
    <w:tbl>
      <w:tblPr>
        <w:bidiVisual/>
        <w:tblW w:w="0" w:type="auto"/>
        <w:tblInd w:w="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1701"/>
        <w:gridCol w:w="1701"/>
        <w:gridCol w:w="1701"/>
      </w:tblGrid>
      <w:tr w:rsidR="007D1BB6" w:rsidTr="007D1BB6">
        <w:tc>
          <w:tcPr>
            <w:tcW w:w="1184" w:type="dxa"/>
          </w:tcPr>
          <w:p w:rsidR="007D1BB6" w:rsidRDefault="007D1BB6">
            <w:pPr>
              <w:jc w:val="center"/>
              <w:rPr>
                <w:rFonts w:cs="David"/>
                <w:lang w:eastAsia="en-US"/>
              </w:rPr>
            </w:pPr>
          </w:p>
        </w:tc>
        <w:tc>
          <w:tcPr>
            <w:tcW w:w="1701" w:type="dxa"/>
          </w:tcPr>
          <w:p w:rsidR="007D1BB6" w:rsidRDefault="007D1BB6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</w:tc>
        <w:tc>
          <w:tcPr>
            <w:tcW w:w="1701" w:type="dxa"/>
          </w:tcPr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נפח התמיסה</w:t>
            </w:r>
          </w:p>
          <w:p w:rsidR="007D1BB6" w:rsidRDefault="007D1BB6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(מ"ל)</w:t>
            </w:r>
          </w:p>
        </w:tc>
        <w:tc>
          <w:tcPr>
            <w:tcW w:w="1701" w:type="dxa"/>
          </w:tcPr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ריכוז התמיסה</w:t>
            </w:r>
          </w:p>
          <w:p w:rsidR="007D1BB6" w:rsidRDefault="007D1BB6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(</w:t>
            </w:r>
            <w:r>
              <w:rPr>
                <w:rFonts w:cs="David" w:hint="cs"/>
                <w:lang w:eastAsia="en-US"/>
              </w:rPr>
              <w:t>M</w:t>
            </w:r>
            <w:r>
              <w:rPr>
                <w:rFonts w:cs="David"/>
                <w:lang w:eastAsia="en-US"/>
              </w:rPr>
              <w:t>)</w:t>
            </w:r>
          </w:p>
        </w:tc>
      </w:tr>
      <w:tr w:rsidR="007D1BB6" w:rsidTr="007D1BB6">
        <w:tc>
          <w:tcPr>
            <w:tcW w:w="1184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A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vertAlign w:val="subscript"/>
                <w:lang w:eastAsia="en-US"/>
              </w:rPr>
            </w:pPr>
            <w:r>
              <w:rPr>
                <w:rFonts w:cs="David"/>
                <w:lang w:eastAsia="en-US"/>
              </w:rPr>
              <w:t>KOH</w:t>
            </w:r>
            <w:r>
              <w:rPr>
                <w:rFonts w:cs="David"/>
                <w:vertAlign w:val="subscript"/>
                <w:lang w:eastAsia="en-US"/>
              </w:rPr>
              <w:t>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150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0.3</w:t>
            </w:r>
          </w:p>
        </w:tc>
      </w:tr>
      <w:tr w:rsidR="007D1BB6" w:rsidTr="007D1BB6">
        <w:tc>
          <w:tcPr>
            <w:tcW w:w="1184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B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vertAlign w:val="subscript"/>
                <w:lang w:eastAsia="en-US"/>
              </w:rPr>
            </w:pPr>
            <w:r>
              <w:rPr>
                <w:rFonts w:cs="David"/>
                <w:lang w:eastAsia="en-US"/>
              </w:rPr>
              <w:t>KOH</w:t>
            </w:r>
            <w:r>
              <w:rPr>
                <w:rFonts w:cs="David"/>
                <w:vertAlign w:val="subscript"/>
                <w:lang w:eastAsia="en-US"/>
              </w:rPr>
              <w:t>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300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0.2</w:t>
            </w:r>
          </w:p>
        </w:tc>
      </w:tr>
      <w:tr w:rsidR="007D1BB6" w:rsidTr="007D1BB6">
        <w:tc>
          <w:tcPr>
            <w:tcW w:w="1184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C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Ba(OH)</w:t>
            </w:r>
            <w:r>
              <w:rPr>
                <w:rFonts w:cs="David"/>
                <w:vertAlign w:val="subscript"/>
                <w:lang w:eastAsia="en-US"/>
              </w:rPr>
              <w:t>2(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75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0.2</w:t>
            </w:r>
          </w:p>
        </w:tc>
      </w:tr>
      <w:tr w:rsidR="007D1BB6" w:rsidTr="007D1BB6">
        <w:tc>
          <w:tcPr>
            <w:tcW w:w="1184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D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Ba(OH)</w:t>
            </w:r>
            <w:r>
              <w:rPr>
                <w:rFonts w:cs="David"/>
                <w:vertAlign w:val="subscript"/>
                <w:lang w:eastAsia="en-US"/>
              </w:rPr>
              <w:t>2(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150</w:t>
            </w:r>
          </w:p>
        </w:tc>
        <w:tc>
          <w:tcPr>
            <w:tcW w:w="1701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0.1</w:t>
            </w:r>
          </w:p>
        </w:tc>
      </w:tr>
    </w:tbl>
    <w:p w:rsidR="00B2701F" w:rsidRDefault="00B2701F">
      <w:pPr>
        <w:spacing w:line="360" w:lineRule="auto"/>
        <w:rPr>
          <w:rFonts w:cs="David"/>
          <w:rtl/>
          <w:lang w:eastAsia="en-US"/>
        </w:rPr>
      </w:pPr>
    </w:p>
    <w:p w:rsidR="00B2701F" w:rsidRDefault="00DA29CA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מהי הקביעה הנכונה?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1%</w:t>
      </w:r>
      <w:r>
        <w:rPr>
          <w:rFonts w:hint="cs"/>
          <w:rtl/>
          <w:lang w:eastAsia="en-US"/>
        </w:rPr>
        <w:tab/>
        <w:t>1.</w:t>
      </w:r>
      <w:r>
        <w:rPr>
          <w:rFonts w:hint="cs"/>
          <w:rtl/>
          <w:lang w:eastAsia="en-US"/>
        </w:rPr>
        <w:tab/>
        <w:t xml:space="preserve">לכל התמיסות אותו </w:t>
      </w:r>
      <w:r>
        <w:rPr>
          <w:lang w:eastAsia="en-US"/>
        </w:rPr>
        <w:t>pH</w:t>
      </w:r>
      <w:r>
        <w:rPr>
          <w:rFonts w:hint="cs"/>
          <w:rtl/>
          <w:lang w:eastAsia="en-US"/>
        </w:rPr>
        <w:t xml:space="preserve"> .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19%</w:t>
      </w:r>
      <w:r>
        <w:rPr>
          <w:rFonts w:hint="cs"/>
          <w:rtl/>
          <w:lang w:eastAsia="en-US"/>
        </w:rPr>
        <w:tab/>
        <w:t>2.</w:t>
      </w:r>
      <w:r>
        <w:rPr>
          <w:rFonts w:hint="cs"/>
          <w:rtl/>
          <w:lang w:eastAsia="en-US"/>
        </w:rPr>
        <w:tab/>
        <w:t xml:space="preserve">ה- </w:t>
      </w:r>
      <w:r>
        <w:rPr>
          <w:lang w:eastAsia="en-US"/>
        </w:rPr>
        <w:t>pH</w:t>
      </w:r>
      <w:r>
        <w:rPr>
          <w:rFonts w:hint="cs"/>
          <w:rtl/>
          <w:lang w:eastAsia="en-US"/>
        </w:rPr>
        <w:t xml:space="preserve"> של תמיסה </w:t>
      </w:r>
      <w:r>
        <w:rPr>
          <w:lang w:eastAsia="en-US"/>
        </w:rPr>
        <w:t>B</w:t>
      </w:r>
      <w:r>
        <w:rPr>
          <w:rFonts w:hint="cs"/>
          <w:rtl/>
          <w:lang w:eastAsia="en-US"/>
        </w:rPr>
        <w:t xml:space="preserve"> הוא הגבוה ביותר.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14%</w:t>
      </w:r>
      <w:r>
        <w:rPr>
          <w:rFonts w:hint="cs"/>
          <w:rtl/>
          <w:lang w:eastAsia="en-US"/>
        </w:rPr>
        <w:tab/>
        <w:t>3.</w:t>
      </w:r>
      <w:r>
        <w:rPr>
          <w:rFonts w:hint="cs"/>
          <w:rtl/>
          <w:lang w:eastAsia="en-US"/>
        </w:rPr>
        <w:tab/>
        <w:t xml:space="preserve">הריכוז של יוני </w:t>
      </w:r>
      <w:r>
        <w:rPr>
          <w:lang w:eastAsia="en-US"/>
        </w:rPr>
        <w:t>OH</w:t>
      </w:r>
      <w:r>
        <w:rPr>
          <w:vertAlign w:val="superscript"/>
          <w:lang w:eastAsia="en-US"/>
        </w:rPr>
        <w:sym w:font="Symbol" w:char="F02D"/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בתמיסה </w:t>
      </w:r>
      <w:r>
        <w:rPr>
          <w:rFonts w:hint="cs"/>
          <w:lang w:eastAsia="en-US"/>
        </w:rPr>
        <w:t>A</w:t>
      </w:r>
      <w:r>
        <w:rPr>
          <w:rFonts w:hint="cs"/>
          <w:rtl/>
          <w:lang w:eastAsia="en-US"/>
        </w:rPr>
        <w:t xml:space="preserve"> הוא הגבוה ביותר.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b/>
          <w:bCs/>
          <w:rtl/>
          <w:lang w:eastAsia="en-US"/>
        </w:rPr>
      </w:pPr>
      <w:r>
        <w:rPr>
          <w:rFonts w:hint="cs"/>
          <w:b/>
          <w:bCs/>
          <w:highlight w:val="yellow"/>
          <w:rtl/>
          <w:lang w:eastAsia="en-US"/>
        </w:rPr>
        <w:t>66%</w:t>
      </w:r>
      <w:r>
        <w:rPr>
          <w:rFonts w:hint="cs"/>
          <w:b/>
          <w:bCs/>
          <w:highlight w:val="yellow"/>
          <w:rtl/>
          <w:lang w:eastAsia="en-US"/>
        </w:rPr>
        <w:tab/>
        <w:t>4.</w:t>
      </w:r>
      <w:r>
        <w:rPr>
          <w:rFonts w:hint="cs"/>
          <w:b/>
          <w:bCs/>
          <w:highlight w:val="yellow"/>
          <w:rtl/>
          <w:lang w:eastAsia="en-US"/>
        </w:rPr>
        <w:tab/>
        <w:t xml:space="preserve">תמיסה </w:t>
      </w:r>
      <w:r>
        <w:rPr>
          <w:b/>
          <w:bCs/>
          <w:highlight w:val="yellow"/>
          <w:lang w:val="ru-RU" w:eastAsia="ru-RU"/>
        </w:rPr>
        <w:t>С</w:t>
      </w:r>
      <w:r>
        <w:rPr>
          <w:rFonts w:hint="cs"/>
          <w:b/>
          <w:bCs/>
          <w:highlight w:val="yellow"/>
          <w:rtl/>
          <w:lang w:eastAsia="en-US"/>
        </w:rPr>
        <w:t xml:space="preserve"> היא התמיסה הבסיסית ביותר.</w:t>
      </w:r>
    </w:p>
    <w:p w:rsidR="00B2701F" w:rsidRDefault="00B2701F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16"/>
          <w:szCs w:val="16"/>
          <w:rtl/>
        </w:rPr>
      </w:pPr>
    </w:p>
    <w:p w:rsidR="00B2701F" w:rsidRDefault="00B2701F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16"/>
          <w:szCs w:val="16"/>
          <w:rtl/>
        </w:rPr>
      </w:pPr>
    </w:p>
    <w:p w:rsidR="00B2701F" w:rsidRDefault="00B2701F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16"/>
          <w:szCs w:val="16"/>
          <w:rtl/>
        </w:rPr>
      </w:pPr>
    </w:p>
    <w:p w:rsidR="00B2701F" w:rsidRDefault="00CD2C90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5EE8ADF7" wp14:editId="1F66B586">
                <wp:simplePos x="0" y="0"/>
                <wp:positionH relativeFrom="page">
                  <wp:posOffset>789940</wp:posOffset>
                </wp:positionH>
                <wp:positionV relativeFrom="paragraph">
                  <wp:posOffset>238760</wp:posOffset>
                </wp:positionV>
                <wp:extent cx="5953760" cy="2740660"/>
                <wp:effectExtent l="8890" t="10160" r="9525" b="11430"/>
                <wp:wrapNone/>
                <wp:docPr id="48" name="AutoShape 16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2740660"/>
                        </a:xfrm>
                        <a:prstGeom prst="roundRect">
                          <a:avLst>
                            <a:gd name="adj" fmla="val 7935"/>
                          </a:avLst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527" o:spid="_x0000_s1026" style="position:absolute;left:0;text-align:left;margin-left:62.2pt;margin-top:18.8pt;width:468.8pt;height:215.8pt;z-index: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5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" filled="f" strokecolor="fuchsia">
                <v:stroke dashstyle="dash"/>
                <w10:wrap anchorx="page"/>
              </v:roundrect>
            </w:pict>
          </mc:Fallback>
        </mc:AlternateContent>
      </w:r>
      <w:r w:rsidR="00DA29CA">
        <w:rPr>
          <w:rFonts w:cs="David" w:hint="cs"/>
          <w:b/>
          <w:bCs/>
          <w:color w:val="FF00FF"/>
          <w:sz w:val="28"/>
          <w:szCs w:val="28"/>
          <w:rtl/>
        </w:rPr>
        <w:t>הנימוק:</w:t>
      </w:r>
    </w:p>
    <w:p w:rsidR="00B2701F" w:rsidRDefault="00DA29CA">
      <w:pPr>
        <w:rPr>
          <w:rFonts w:cs="David"/>
          <w:rtl/>
          <w:lang w:val="pt-BR"/>
        </w:rPr>
      </w:pPr>
      <w:r>
        <w:rPr>
          <w:rFonts w:cs="David" w:hint="cs"/>
          <w:rtl/>
          <w:lang w:val="pt-BR"/>
        </w:rPr>
        <w:t xml:space="preserve">מוצאים ריכוז </w:t>
      </w:r>
      <w:r>
        <w:rPr>
          <w:rFonts w:cs="David" w:hint="cs"/>
          <w:rtl/>
          <w:lang w:eastAsia="en-US"/>
        </w:rPr>
        <w:t xml:space="preserve">יוני </w:t>
      </w:r>
      <w:r>
        <w:rPr>
          <w:rFonts w:cs="David"/>
          <w:lang w:eastAsia="en-US"/>
        </w:rPr>
        <w:t>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בכל אחת מהתמיסות:</w:t>
      </w:r>
      <w:r>
        <w:rPr>
          <w:rFonts w:cs="David" w:hint="cs"/>
          <w:rtl/>
          <w:lang w:val="pt-BR"/>
        </w:rPr>
        <w:t xml:space="preserve"> </w:t>
      </w:r>
    </w:p>
    <w:p w:rsidR="00B2701F" w:rsidRDefault="00B2701F">
      <w:pPr>
        <w:spacing w:line="360" w:lineRule="auto"/>
        <w:ind w:right="284"/>
        <w:rPr>
          <w:rFonts w:cs="David"/>
          <w:sz w:val="16"/>
          <w:szCs w:val="16"/>
          <w:rtl/>
          <w:lang w:val="pt-BR"/>
        </w:rPr>
      </w:pPr>
    </w:p>
    <w:tbl>
      <w:tblPr>
        <w:bidiVisual/>
        <w:tblW w:w="8663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1627"/>
        <w:gridCol w:w="1333"/>
        <w:gridCol w:w="1275"/>
        <w:gridCol w:w="1914"/>
        <w:gridCol w:w="1488"/>
      </w:tblGrid>
      <w:tr w:rsidR="007D1BB6" w:rsidTr="007D1BB6">
        <w:tc>
          <w:tcPr>
            <w:tcW w:w="1026" w:type="dxa"/>
          </w:tcPr>
          <w:p w:rsidR="007D1BB6" w:rsidRDefault="007D1BB6">
            <w:pPr>
              <w:jc w:val="center"/>
              <w:rPr>
                <w:rFonts w:cs="David"/>
                <w:lang w:eastAsia="en-US"/>
              </w:rPr>
            </w:pPr>
          </w:p>
        </w:tc>
        <w:tc>
          <w:tcPr>
            <w:tcW w:w="1627" w:type="dxa"/>
          </w:tcPr>
          <w:p w:rsidR="007D1BB6" w:rsidRDefault="007D1BB6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</w:tc>
        <w:tc>
          <w:tcPr>
            <w:tcW w:w="1333" w:type="dxa"/>
          </w:tcPr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נפח</w:t>
            </w:r>
          </w:p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  <w:p w:rsidR="007D1BB6" w:rsidRDefault="007D1BB6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(מ"ל)</w:t>
            </w:r>
          </w:p>
        </w:tc>
        <w:tc>
          <w:tcPr>
            <w:tcW w:w="1275" w:type="dxa"/>
          </w:tcPr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ריכוז</w:t>
            </w:r>
          </w:p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  <w:p w:rsidR="007D1BB6" w:rsidRDefault="007D1BB6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(</w:t>
            </w:r>
            <w:r>
              <w:rPr>
                <w:rFonts w:cs="David" w:hint="cs"/>
                <w:lang w:eastAsia="en-US"/>
              </w:rPr>
              <w:t>M</w:t>
            </w:r>
            <w:r>
              <w:rPr>
                <w:rFonts w:cs="David"/>
                <w:lang w:eastAsia="en-US"/>
              </w:rPr>
              <w:t>)</w:t>
            </w:r>
          </w:p>
        </w:tc>
        <w:tc>
          <w:tcPr>
            <w:tcW w:w="1914" w:type="dxa"/>
          </w:tcPr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מספר המולים</w:t>
            </w:r>
          </w:p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של  יוני</w:t>
            </w:r>
            <w:r>
              <w:rPr>
                <w:rFonts w:cs="David" w:hint="cs"/>
                <w:rtl/>
                <w:lang w:val="pt-BR"/>
              </w:rPr>
              <w:t xml:space="preserve"> </w:t>
            </w:r>
            <w:r>
              <w:rPr>
                <w:rFonts w:cs="David"/>
                <w:lang w:eastAsia="en-US"/>
              </w:rPr>
              <w:t>OH</w:t>
            </w:r>
            <w:r>
              <w:rPr>
                <w:rFonts w:cs="David"/>
                <w:vertAlign w:val="superscript"/>
                <w:lang w:eastAsia="en-US"/>
              </w:rPr>
              <w:sym w:font="Symbol" w:char="F02D"/>
            </w:r>
            <w:r>
              <w:rPr>
                <w:rFonts w:cs="David"/>
                <w:vertAlign w:val="subscript"/>
                <w:lang w:eastAsia="en-US"/>
              </w:rPr>
              <w:t>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ב- 1 מול תרכובת</w:t>
            </w:r>
          </w:p>
        </w:tc>
        <w:tc>
          <w:tcPr>
            <w:tcW w:w="1488" w:type="dxa"/>
          </w:tcPr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ריכוז</w:t>
            </w:r>
          </w:p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 xml:space="preserve">יוני </w:t>
            </w:r>
            <w:r>
              <w:rPr>
                <w:rFonts w:cs="David"/>
                <w:lang w:eastAsia="en-US"/>
              </w:rPr>
              <w:t>OH</w:t>
            </w:r>
            <w:r>
              <w:rPr>
                <w:rFonts w:cs="David"/>
                <w:vertAlign w:val="superscript"/>
                <w:lang w:eastAsia="en-US"/>
              </w:rPr>
              <w:sym w:font="Symbol" w:char="F02D"/>
            </w:r>
            <w:r>
              <w:rPr>
                <w:rFonts w:cs="David"/>
                <w:vertAlign w:val="subscript"/>
                <w:lang w:eastAsia="en-US"/>
              </w:rPr>
              <w:t>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  <w:p w:rsidR="007D1BB6" w:rsidRDefault="007D1BB6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/>
                <w:lang w:eastAsia="en-US"/>
              </w:rPr>
              <w:t>(</w:t>
            </w:r>
            <w:r>
              <w:rPr>
                <w:rFonts w:cs="David" w:hint="cs"/>
                <w:lang w:eastAsia="en-US"/>
              </w:rPr>
              <w:t>M</w:t>
            </w:r>
            <w:r>
              <w:rPr>
                <w:rFonts w:cs="David"/>
                <w:lang w:eastAsia="en-US"/>
              </w:rPr>
              <w:t>)</w:t>
            </w:r>
          </w:p>
        </w:tc>
      </w:tr>
      <w:tr w:rsidR="007D1BB6" w:rsidTr="007D1BB6">
        <w:tc>
          <w:tcPr>
            <w:tcW w:w="1026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A</w:t>
            </w:r>
          </w:p>
        </w:tc>
        <w:tc>
          <w:tcPr>
            <w:tcW w:w="1627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vertAlign w:val="subscript"/>
                <w:lang w:eastAsia="en-US"/>
              </w:rPr>
            </w:pPr>
            <w:r>
              <w:rPr>
                <w:rFonts w:cs="David"/>
                <w:lang w:eastAsia="en-US"/>
              </w:rPr>
              <w:t>KOH</w:t>
            </w:r>
            <w:r>
              <w:rPr>
                <w:rFonts w:cs="David"/>
                <w:vertAlign w:val="subscript"/>
                <w:lang w:eastAsia="en-US"/>
              </w:rPr>
              <w:t>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</w:tc>
        <w:tc>
          <w:tcPr>
            <w:tcW w:w="1333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150</w:t>
            </w:r>
          </w:p>
        </w:tc>
        <w:tc>
          <w:tcPr>
            <w:tcW w:w="1275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0.3</w:t>
            </w:r>
          </w:p>
        </w:tc>
        <w:tc>
          <w:tcPr>
            <w:tcW w:w="1914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</w:t>
            </w:r>
          </w:p>
        </w:tc>
        <w:tc>
          <w:tcPr>
            <w:tcW w:w="1488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0.3</w:t>
            </w:r>
          </w:p>
        </w:tc>
      </w:tr>
      <w:tr w:rsidR="007D1BB6" w:rsidTr="007D1BB6">
        <w:tc>
          <w:tcPr>
            <w:tcW w:w="1026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B</w:t>
            </w:r>
          </w:p>
        </w:tc>
        <w:tc>
          <w:tcPr>
            <w:tcW w:w="1627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vertAlign w:val="subscript"/>
                <w:lang w:eastAsia="en-US"/>
              </w:rPr>
            </w:pPr>
            <w:r>
              <w:rPr>
                <w:rFonts w:cs="David"/>
                <w:lang w:eastAsia="en-US"/>
              </w:rPr>
              <w:t>KOH</w:t>
            </w:r>
            <w:r>
              <w:rPr>
                <w:rFonts w:cs="David"/>
                <w:vertAlign w:val="subscript"/>
                <w:lang w:eastAsia="en-US"/>
              </w:rPr>
              <w:t>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</w:tc>
        <w:tc>
          <w:tcPr>
            <w:tcW w:w="1333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300</w:t>
            </w:r>
          </w:p>
        </w:tc>
        <w:tc>
          <w:tcPr>
            <w:tcW w:w="1275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0.2</w:t>
            </w:r>
          </w:p>
        </w:tc>
        <w:tc>
          <w:tcPr>
            <w:tcW w:w="1914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</w:t>
            </w:r>
          </w:p>
        </w:tc>
        <w:tc>
          <w:tcPr>
            <w:tcW w:w="1488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0.2</w:t>
            </w:r>
          </w:p>
        </w:tc>
      </w:tr>
      <w:tr w:rsidR="007D1BB6" w:rsidTr="007D1BB6">
        <w:tc>
          <w:tcPr>
            <w:tcW w:w="1026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C</w:t>
            </w:r>
          </w:p>
        </w:tc>
        <w:tc>
          <w:tcPr>
            <w:tcW w:w="1627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Ba(OH)</w:t>
            </w:r>
            <w:r>
              <w:rPr>
                <w:rFonts w:cs="David"/>
                <w:vertAlign w:val="subscript"/>
                <w:lang w:eastAsia="en-US"/>
              </w:rPr>
              <w:t>2(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</w:tc>
        <w:tc>
          <w:tcPr>
            <w:tcW w:w="1333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75</w:t>
            </w:r>
          </w:p>
        </w:tc>
        <w:tc>
          <w:tcPr>
            <w:tcW w:w="1275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0.2</w:t>
            </w:r>
          </w:p>
        </w:tc>
        <w:tc>
          <w:tcPr>
            <w:tcW w:w="1914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2</w:t>
            </w:r>
          </w:p>
        </w:tc>
        <w:tc>
          <w:tcPr>
            <w:tcW w:w="1488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0.4</w:t>
            </w:r>
          </w:p>
        </w:tc>
      </w:tr>
      <w:tr w:rsidR="007D1BB6" w:rsidTr="007D1BB6">
        <w:tc>
          <w:tcPr>
            <w:tcW w:w="1026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D</w:t>
            </w:r>
          </w:p>
        </w:tc>
        <w:tc>
          <w:tcPr>
            <w:tcW w:w="1627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Ba(OH)</w:t>
            </w:r>
            <w:r>
              <w:rPr>
                <w:rFonts w:cs="David"/>
                <w:vertAlign w:val="subscript"/>
                <w:lang w:eastAsia="en-US"/>
              </w:rPr>
              <w:t>2(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</w:tc>
        <w:tc>
          <w:tcPr>
            <w:tcW w:w="1333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150</w:t>
            </w:r>
          </w:p>
        </w:tc>
        <w:tc>
          <w:tcPr>
            <w:tcW w:w="1275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0.1</w:t>
            </w:r>
          </w:p>
        </w:tc>
        <w:tc>
          <w:tcPr>
            <w:tcW w:w="1914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2</w:t>
            </w:r>
          </w:p>
        </w:tc>
        <w:tc>
          <w:tcPr>
            <w:tcW w:w="1488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0.2</w:t>
            </w:r>
          </w:p>
        </w:tc>
      </w:tr>
    </w:tbl>
    <w:p w:rsidR="00B2701F" w:rsidRDefault="00B2701F">
      <w:pPr>
        <w:spacing w:line="360" w:lineRule="auto"/>
        <w:rPr>
          <w:rFonts w:cs="David"/>
          <w:b/>
          <w:bCs/>
          <w:color w:val="0000FF"/>
          <w:sz w:val="16"/>
          <w:szCs w:val="16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0000FF"/>
          <w:rtl/>
        </w:rPr>
      </w:pPr>
      <w:r>
        <w:rPr>
          <w:rFonts w:cs="David" w:hint="cs"/>
          <w:rtl/>
          <w:lang w:val="pt-BR"/>
        </w:rPr>
        <w:t xml:space="preserve">ריכוז </w:t>
      </w:r>
      <w:r>
        <w:rPr>
          <w:rFonts w:cs="David" w:hint="cs"/>
          <w:rtl/>
          <w:lang w:eastAsia="en-US"/>
        </w:rPr>
        <w:t xml:space="preserve">יוני </w:t>
      </w:r>
      <w:r>
        <w:rPr>
          <w:rFonts w:cs="David"/>
          <w:lang w:eastAsia="en-US"/>
        </w:rPr>
        <w:t>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בתמיסה </w:t>
      </w:r>
      <w:r>
        <w:rPr>
          <w:rFonts w:cs="David" w:hint="cs"/>
          <w:lang w:eastAsia="en-US"/>
        </w:rPr>
        <w:t>C</w:t>
      </w:r>
      <w:r>
        <w:rPr>
          <w:rFonts w:cs="David" w:hint="cs"/>
          <w:rtl/>
          <w:lang w:eastAsia="en-US"/>
        </w:rPr>
        <w:t xml:space="preserve"> הוא הגבוה ביותר, לכן זוהי התמיסה הבסיסית ביותר, וה- </w:t>
      </w:r>
      <w:r>
        <w:rPr>
          <w:rFonts w:cs="David"/>
          <w:lang w:eastAsia="en-US"/>
        </w:rPr>
        <w:t>pH</w:t>
      </w:r>
      <w:r>
        <w:rPr>
          <w:rFonts w:cs="David" w:hint="cs"/>
          <w:rtl/>
          <w:lang w:eastAsia="en-US"/>
        </w:rPr>
        <w:t xml:space="preserve"> שלה הוא הגבוה ביותר.</w:t>
      </w:r>
    </w:p>
    <w:p w:rsidR="00B2701F" w:rsidRDefault="00B2701F">
      <w:pPr>
        <w:spacing w:line="360" w:lineRule="auto"/>
        <w:rPr>
          <w:rFonts w:cs="David"/>
          <w:b/>
          <w:bCs/>
          <w:color w:val="0000FF"/>
          <w:rtl/>
        </w:rPr>
      </w:pPr>
    </w:p>
    <w:p w:rsidR="00B2701F" w:rsidRDefault="00DA29CA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lastRenderedPageBreak/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הבנה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B2701F" w:rsidRDefault="00B2701F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 לדעת: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>מהי תמיסה בסיסית ומהי תמיסה חומצית.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מהו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וסקלת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.</w:t>
      </w:r>
    </w:p>
    <w:p w:rsidR="00B2701F" w:rsidRDefault="00DA29CA">
      <w:pPr>
        <w:spacing w:line="360" w:lineRule="auto"/>
        <w:ind w:left="425" w:hanging="425"/>
        <w:rPr>
          <w:rFonts w:cs="David"/>
          <w:rtl/>
          <w:lang w:eastAsia="en-US"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הקשר בין </w:t>
      </w:r>
      <w:r>
        <w:rPr>
          <w:rFonts w:cs="David" w:hint="cs"/>
          <w:rtl/>
          <w:lang w:val="pt-BR"/>
        </w:rPr>
        <w:t xml:space="preserve">ריכוז </w:t>
      </w:r>
      <w:r>
        <w:rPr>
          <w:rFonts w:cs="David" w:hint="cs"/>
          <w:rtl/>
          <w:lang w:eastAsia="en-US"/>
        </w:rPr>
        <w:t xml:space="preserve">יוני </w:t>
      </w:r>
      <w:r>
        <w:rPr>
          <w:rFonts w:cs="David"/>
          <w:lang w:eastAsia="en-US"/>
        </w:rPr>
        <w:t>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בתמיסה לבין </w:t>
      </w:r>
      <w:r>
        <w:rPr>
          <w:rFonts w:cs="David"/>
          <w:lang w:eastAsia="en-US"/>
        </w:rPr>
        <w:t>pH</w:t>
      </w:r>
      <w:r>
        <w:rPr>
          <w:rFonts w:cs="David" w:hint="cs"/>
          <w:rtl/>
          <w:lang w:eastAsia="en-US"/>
        </w:rPr>
        <w:t xml:space="preserve"> התמיסה הבסיסית.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</w:r>
      <w:r>
        <w:rPr>
          <w:rFonts w:cs="David"/>
        </w:rPr>
        <w:t>pH</w:t>
      </w:r>
      <w:r>
        <w:rPr>
          <w:rFonts w:cs="David" w:hint="cs"/>
          <w:rtl/>
        </w:rPr>
        <w:t xml:space="preserve"> התמיסה הבסיסית תלוי רק ב</w:t>
      </w:r>
      <w:r>
        <w:rPr>
          <w:rFonts w:cs="David" w:hint="cs"/>
          <w:rtl/>
          <w:lang w:val="pt-BR"/>
        </w:rPr>
        <w:t xml:space="preserve">ריכוז </w:t>
      </w:r>
      <w:r>
        <w:rPr>
          <w:rFonts w:cs="David" w:hint="cs"/>
          <w:rtl/>
          <w:lang w:eastAsia="en-US"/>
        </w:rPr>
        <w:t xml:space="preserve">יוני </w:t>
      </w:r>
      <w:r>
        <w:rPr>
          <w:rFonts w:cs="David"/>
          <w:lang w:eastAsia="en-US"/>
        </w:rPr>
        <w:t>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בתמיסה, ואינו תלוי בנפח התמיסה.</w:t>
      </w:r>
      <w:r>
        <w:rPr>
          <w:rFonts w:cs="David" w:hint="cs"/>
          <w:rtl/>
        </w:rPr>
        <w:t xml:space="preserve"> 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תהליכי המסה במים של חומרים יוניים.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חישובים </w:t>
      </w:r>
      <w:proofErr w:type="spellStart"/>
      <w:r>
        <w:rPr>
          <w:rFonts w:cs="David" w:hint="cs"/>
          <w:rtl/>
        </w:rPr>
        <w:t>סטויכיומטריים</w:t>
      </w:r>
      <w:proofErr w:type="spellEnd"/>
      <w:r>
        <w:rPr>
          <w:rFonts w:cs="David" w:hint="cs"/>
          <w:rtl/>
        </w:rPr>
        <w:t>.</w:t>
      </w:r>
    </w:p>
    <w:p w:rsidR="00B2701F" w:rsidRDefault="00B2701F">
      <w:pPr>
        <w:spacing w:line="360" w:lineRule="auto"/>
        <w:rPr>
          <w:rFonts w:cs="David"/>
          <w:b/>
          <w:bCs/>
          <w:color w:val="FF0000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FF0000"/>
          <w:rtl/>
        </w:rPr>
      </w:pPr>
      <w:r>
        <w:rPr>
          <w:rFonts w:cs="David" w:hint="cs"/>
          <w:b/>
          <w:bCs/>
          <w:color w:val="FF0000"/>
          <w:rtl/>
        </w:rPr>
        <w:t>סיבות אפשריות לטעויות:</w:t>
      </w:r>
    </w:p>
    <w:p w:rsidR="00B2701F" w:rsidRDefault="00DA29CA">
      <w:pPr>
        <w:spacing w:line="360" w:lineRule="auto"/>
        <w:ind w:right="284"/>
        <w:rPr>
          <w:rFonts w:cs="David"/>
          <w:rtl/>
        </w:rPr>
      </w:pPr>
      <w:r>
        <w:rPr>
          <w:rFonts w:cs="David" w:hint="cs"/>
          <w:rtl/>
          <w:lang w:val="pt-BR"/>
        </w:rPr>
        <w:t xml:space="preserve">הציון נמוך יחסית. </w:t>
      </w:r>
      <w:r>
        <w:rPr>
          <w:rFonts w:cs="David"/>
        </w:rPr>
        <w:t>19%</w:t>
      </w:r>
      <w:r>
        <w:rPr>
          <w:rFonts w:cs="David" w:hint="cs"/>
          <w:rtl/>
        </w:rPr>
        <w:t xml:space="preserve"> מהתלמידים בחרו במסיח 2 . טעות זו נובעת מחוסר הבנה מהו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התמיסה, תלמידים אלה סברו שהערך של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התמיסה תלוי בנפח התמיסה. </w:t>
      </w:r>
      <w:r>
        <w:rPr>
          <w:rFonts w:cs="David"/>
        </w:rPr>
        <w:t>14%</w:t>
      </w:r>
      <w:r>
        <w:rPr>
          <w:rFonts w:cs="David" w:hint="cs"/>
          <w:rtl/>
        </w:rPr>
        <w:t xml:space="preserve"> מהתלמידים, שבחרו במסיח </w:t>
      </w:r>
      <w:r>
        <w:rPr>
          <w:rFonts w:cs="David"/>
        </w:rPr>
        <w:t>3</w:t>
      </w:r>
      <w:r>
        <w:rPr>
          <w:rFonts w:cs="David" w:hint="cs"/>
          <w:rtl/>
        </w:rPr>
        <w:t xml:space="preserve"> , טעו בקביעת הריכוז של </w:t>
      </w:r>
      <w:r>
        <w:rPr>
          <w:rFonts w:cs="David" w:hint="cs"/>
          <w:rtl/>
          <w:lang w:eastAsia="en-US"/>
        </w:rPr>
        <w:t xml:space="preserve">יוני </w:t>
      </w:r>
      <w:r>
        <w:rPr>
          <w:rFonts w:cs="David"/>
          <w:lang w:eastAsia="en-US"/>
        </w:rPr>
        <w:t>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בתמיסות הנתונות. הם לא ידעו שכאשר ממיסים 1 מול בריום </w:t>
      </w:r>
      <w:proofErr w:type="spellStart"/>
      <w:r>
        <w:rPr>
          <w:rFonts w:cs="David" w:hint="cs"/>
          <w:rtl/>
          <w:lang w:eastAsia="en-US"/>
        </w:rPr>
        <w:t>הידרוקסידי</w:t>
      </w:r>
      <w:proofErr w:type="spellEnd"/>
      <w:r>
        <w:rPr>
          <w:rFonts w:cs="David" w:hint="cs"/>
          <w:rtl/>
          <w:lang w:eastAsia="en-US"/>
        </w:rPr>
        <w:t xml:space="preserve"> במים מתקבלים 3 מול יונים (1 מול יוני </w:t>
      </w:r>
      <w:r>
        <w:rPr>
          <w:rFonts w:cs="David"/>
          <w:lang w:eastAsia="en-US"/>
        </w:rPr>
        <w:t>Ba</w:t>
      </w:r>
      <w:r>
        <w:rPr>
          <w:rFonts w:cs="David"/>
          <w:vertAlign w:val="superscript"/>
          <w:lang w:eastAsia="en-US"/>
        </w:rPr>
        <w:t>2+</w:t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ו- </w:t>
      </w:r>
      <w:r>
        <w:rPr>
          <w:rFonts w:cs="David"/>
          <w:lang w:eastAsia="en-US"/>
        </w:rPr>
        <w:t>2</w:t>
      </w:r>
      <w:r>
        <w:rPr>
          <w:rFonts w:cs="David" w:hint="cs"/>
          <w:rtl/>
          <w:lang w:eastAsia="en-US"/>
        </w:rPr>
        <w:t xml:space="preserve"> מול                       יוני </w:t>
      </w:r>
      <w:r>
        <w:rPr>
          <w:rFonts w:cs="David"/>
          <w:lang w:eastAsia="en-US"/>
        </w:rPr>
        <w:t>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>).</w:t>
      </w:r>
    </w:p>
    <w:p w:rsidR="00B2701F" w:rsidRDefault="00B2701F">
      <w:pPr>
        <w:spacing w:line="360" w:lineRule="auto"/>
        <w:ind w:right="284"/>
        <w:rPr>
          <w:rFonts w:cs="David"/>
          <w:rtl/>
        </w:rPr>
      </w:pPr>
    </w:p>
    <w:p w:rsidR="00B2701F" w:rsidRDefault="00B2701F">
      <w:pPr>
        <w:spacing w:line="360" w:lineRule="auto"/>
        <w:ind w:right="284"/>
        <w:rPr>
          <w:rFonts w:cs="David"/>
          <w:rtl/>
        </w:rPr>
      </w:pPr>
      <w:bookmarkStart w:id="0" w:name="_GoBack"/>
      <w:bookmarkEnd w:id="0"/>
    </w:p>
    <w:sectPr w:rsidR="00B2701F">
      <w:footerReference w:type="even" r:id="rId15"/>
      <w:footerReference w:type="default" r:id="rId16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62" w:rsidRDefault="00611E62">
      <w:r>
        <w:separator/>
      </w:r>
    </w:p>
  </w:endnote>
  <w:endnote w:type="continuationSeparator" w:id="0">
    <w:p w:rsidR="00611E62" w:rsidRDefault="0061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D042C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62" w:rsidRDefault="00611E62">
      <w:r>
        <w:separator/>
      </w:r>
    </w:p>
  </w:footnote>
  <w:footnote w:type="continuationSeparator" w:id="0">
    <w:p w:rsidR="00611E62" w:rsidRDefault="0061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F8B"/>
    <w:multiLevelType w:val="hybridMultilevel"/>
    <w:tmpl w:val="B798BC0C"/>
    <w:lvl w:ilvl="0" w:tplc="04090001">
      <w:start w:val="1"/>
      <w:numFmt w:val="bullet"/>
      <w:lvlText w:val=""/>
      <w:lvlJc w:val="left"/>
      <w:pPr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right="7200" w:hanging="360"/>
      </w:pPr>
      <w:rPr>
        <w:rFonts w:ascii="Wingdings" w:hAnsi="Wingdings" w:hint="default"/>
      </w:rPr>
    </w:lvl>
  </w:abstractNum>
  <w:abstractNum w:abstractNumId="1">
    <w:nsid w:val="08A83FB2"/>
    <w:multiLevelType w:val="hybridMultilevel"/>
    <w:tmpl w:val="C13CCE4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">
    <w:nsid w:val="1862237F"/>
    <w:multiLevelType w:val="hybridMultilevel"/>
    <w:tmpl w:val="2CA62AB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A93307C"/>
    <w:multiLevelType w:val="hybridMultilevel"/>
    <w:tmpl w:val="0CF43B30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EBC5486"/>
    <w:multiLevelType w:val="hybridMultilevel"/>
    <w:tmpl w:val="3EF82A9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27E25392"/>
    <w:multiLevelType w:val="hybridMultilevel"/>
    <w:tmpl w:val="BC580EA4"/>
    <w:lvl w:ilvl="0" w:tplc="3D681882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6">
    <w:nsid w:val="2C7A0635"/>
    <w:multiLevelType w:val="hybridMultilevel"/>
    <w:tmpl w:val="8C228C4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31B82AD8"/>
    <w:multiLevelType w:val="hybridMultilevel"/>
    <w:tmpl w:val="CAD24F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8">
    <w:nsid w:val="42823442"/>
    <w:multiLevelType w:val="hybridMultilevel"/>
    <w:tmpl w:val="16CE284C"/>
    <w:lvl w:ilvl="0" w:tplc="6E0430F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C88AE852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  <w:sz w:val="20"/>
      </w:rPr>
    </w:lvl>
    <w:lvl w:ilvl="2" w:tplc="2910CD40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plc="9078BADE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plc="546ABC98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plc="A664E3B8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plc="9DB0183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plc="55D2E594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plc="EE8AD9F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9">
    <w:nsid w:val="5EB91C49"/>
    <w:multiLevelType w:val="hybridMultilevel"/>
    <w:tmpl w:val="7F44B1CA"/>
    <w:lvl w:ilvl="0" w:tplc="54A21B02">
      <w:start w:val="3"/>
      <w:numFmt w:val="bullet"/>
      <w:lvlText w:val=""/>
      <w:lvlJc w:val="left"/>
      <w:pPr>
        <w:ind w:left="303" w:right="303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3" w:right="10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righ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righ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right="31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righ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righ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right="53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right="6063" w:hanging="360"/>
      </w:pPr>
      <w:rPr>
        <w:rFonts w:ascii="Wingdings" w:hAnsi="Wingdings" w:hint="default"/>
      </w:rPr>
    </w:lvl>
  </w:abstractNum>
  <w:abstractNum w:abstractNumId="10">
    <w:nsid w:val="671A1824"/>
    <w:multiLevelType w:val="hybridMultilevel"/>
    <w:tmpl w:val="C60433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69AF37CD"/>
    <w:multiLevelType w:val="hybridMultilevel"/>
    <w:tmpl w:val="01CEA60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6E5D3538"/>
    <w:multiLevelType w:val="hybridMultilevel"/>
    <w:tmpl w:val="67A8ED36"/>
    <w:lvl w:ilvl="0" w:tplc="04090001">
      <w:start w:val="1"/>
      <w:numFmt w:val="bullet"/>
      <w:lvlText w:val=""/>
      <w:lvlJc w:val="left"/>
      <w:pPr>
        <w:ind w:left="946" w:righ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right="1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righ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righ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right="3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righ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righ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right="5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right="6706" w:hanging="360"/>
      </w:pPr>
      <w:rPr>
        <w:rFonts w:ascii="Wingdings" w:hAnsi="Wingdings" w:hint="default"/>
      </w:rPr>
    </w:lvl>
  </w:abstractNum>
  <w:abstractNum w:abstractNumId="13">
    <w:nsid w:val="73E0392F"/>
    <w:multiLevelType w:val="hybridMultilevel"/>
    <w:tmpl w:val="7C2C1F88"/>
    <w:lvl w:ilvl="0" w:tplc="02B63B90">
      <w:start w:val="2"/>
      <w:numFmt w:val="decimal"/>
      <w:lvlText w:val="%1)"/>
      <w:lvlJc w:val="left"/>
      <w:pPr>
        <w:tabs>
          <w:tab w:val="num" w:pos="3120"/>
        </w:tabs>
        <w:ind w:left="3120" w:right="31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840"/>
        </w:tabs>
        <w:ind w:left="3840" w:right="38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560"/>
        </w:tabs>
        <w:ind w:left="4560" w:right="45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5280"/>
        </w:tabs>
        <w:ind w:left="5280" w:right="52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000"/>
        </w:tabs>
        <w:ind w:left="6000" w:right="60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720"/>
        </w:tabs>
        <w:ind w:left="6720" w:right="67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7440"/>
        </w:tabs>
        <w:ind w:left="7440" w:right="74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8160"/>
        </w:tabs>
        <w:ind w:left="8160" w:right="81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880"/>
        </w:tabs>
        <w:ind w:left="8880" w:right="8880" w:hanging="180"/>
      </w:pPr>
    </w:lvl>
  </w:abstractNum>
  <w:abstractNum w:abstractNumId="14">
    <w:nsid w:val="757726E8"/>
    <w:multiLevelType w:val="hybridMultilevel"/>
    <w:tmpl w:val="90B4E32C"/>
    <w:lvl w:ilvl="0" w:tplc="73B44154">
      <w:start w:val="1"/>
      <w:numFmt w:val="bullet"/>
      <w:lvlText w:val=""/>
      <w:lvlJc w:val="left"/>
      <w:pPr>
        <w:tabs>
          <w:tab w:val="num" w:pos="420"/>
        </w:tabs>
        <w:ind w:left="420" w:righ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abstractNum w:abstractNumId="15">
    <w:nsid w:val="7B58363B"/>
    <w:multiLevelType w:val="hybridMultilevel"/>
    <w:tmpl w:val="8B9670A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14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B6"/>
    <w:rsid w:val="001658C6"/>
    <w:rsid w:val="00205CCA"/>
    <w:rsid w:val="003F1D8A"/>
    <w:rsid w:val="00423D70"/>
    <w:rsid w:val="00444B1B"/>
    <w:rsid w:val="0045055C"/>
    <w:rsid w:val="0048217F"/>
    <w:rsid w:val="0053093F"/>
    <w:rsid w:val="005D5E2A"/>
    <w:rsid w:val="00611E62"/>
    <w:rsid w:val="006818D0"/>
    <w:rsid w:val="00755125"/>
    <w:rsid w:val="007D1BB6"/>
    <w:rsid w:val="008569C0"/>
    <w:rsid w:val="009F3151"/>
    <w:rsid w:val="00A42D33"/>
    <w:rsid w:val="00A567FA"/>
    <w:rsid w:val="00B2701F"/>
    <w:rsid w:val="00CD2C90"/>
    <w:rsid w:val="00D142C7"/>
    <w:rsid w:val="00DA29CA"/>
    <w:rsid w:val="00DD042C"/>
    <w:rsid w:val="00F055DD"/>
    <w:rsid w:val="00F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c9,#9cf,#f6f,yellow,#ff6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F8BE-AB8F-47E3-8140-1E339B9E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1543</CharactersWithSpaces>
  <SharedDoc>false</SharedDoc>
  <HLinks>
    <vt:vector size="90" baseType="variant"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6881286</vt:i4>
      </vt:variant>
      <vt:variant>
        <vt:i4>42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39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589916</vt:i4>
      </vt:variant>
      <vt:variant>
        <vt:i4>36</vt:i4>
      </vt:variant>
      <vt:variant>
        <vt:i4>0</vt:i4>
      </vt:variant>
      <vt:variant>
        <vt:i4>5</vt:i4>
      </vt:variant>
      <vt:variant>
        <vt:lpwstr>http://stwww.weizmann.ac.il/g-chem/chemin</vt:lpwstr>
      </vt:variant>
      <vt:variant>
        <vt:lpwstr/>
      </vt:variant>
      <vt:variant>
        <vt:i4>3866671</vt:i4>
      </vt:variant>
      <vt:variant>
        <vt:i4>33</vt:i4>
      </vt:variant>
      <vt:variant>
        <vt:i4>0</vt:i4>
      </vt:variant>
      <vt:variant>
        <vt:i4>5</vt:i4>
      </vt:variant>
      <vt:variant>
        <vt:lpwstr>http://stwww.weizmann.ac.il/G-CHEM/animationsindex/acidbasepH/aceticeq.html</vt:lpwstr>
      </vt:variant>
      <vt:variant>
        <vt:lpwstr/>
      </vt:variant>
      <vt:variant>
        <vt:i4>3604532</vt:i4>
      </vt:variant>
      <vt:variant>
        <vt:i4>30</vt:i4>
      </vt:variant>
      <vt:variant>
        <vt:i4>0</vt:i4>
      </vt:variant>
      <vt:variant>
        <vt:i4>5</vt:i4>
      </vt:variant>
      <vt:variant>
        <vt:lpwstr>http://stwww.weizmann.ac.il/G-CHEM/animationsindex/acidbasepH/HCl(aq).html</vt:lpwstr>
      </vt:variant>
      <vt:variant>
        <vt:lpwstr/>
      </vt:variant>
      <vt:variant>
        <vt:i4>524378</vt:i4>
      </vt:variant>
      <vt:variant>
        <vt:i4>27</vt:i4>
      </vt:variant>
      <vt:variant>
        <vt:i4>0</vt:i4>
      </vt:variant>
      <vt:variant>
        <vt:i4>5</vt:i4>
      </vt:variant>
      <vt:variant>
        <vt:lpwstr>http://davidson.weizmann.ac.il/online/tikshuv/chemistry/%D7%AA%D7%9E%D7%99%D7%A1%D7%95%D7%AA-%D7%97%D7%95%D7%9E%D7%A6%D7%94-%D7%91%D7%A1%D7%99%D7%A1</vt:lpwstr>
      </vt:variant>
      <vt:variant>
        <vt:lpwstr/>
      </vt:variant>
      <vt:variant>
        <vt:i4>3473441</vt:i4>
      </vt:variant>
      <vt:variant>
        <vt:i4>24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18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3473441</vt:i4>
      </vt:variant>
      <vt:variant>
        <vt:i4>12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9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6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2</cp:revision>
  <dcterms:created xsi:type="dcterms:W3CDTF">2017-03-30T07:33:00Z</dcterms:created>
  <dcterms:modified xsi:type="dcterms:W3CDTF">2017-03-30T07:33:00Z</dcterms:modified>
</cp:coreProperties>
</file>