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3B1894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bookmarkStart w:id="0" w:name="_GoBack"/>
      <w:bookmarkEnd w:id="0"/>
    </w:p>
    <w:p w:rsidR="006B0E53" w:rsidRDefault="00B2013E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63.6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8092" r:id="rId13"/>
          <o:OLEObject Type="Embed" ProgID="MSPhotoEd.3" ShapeID="_x0000_s1033" DrawAspect="Content" ObjectID="_1552648093" r:id="rId14"/>
        </w:pic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3       </w:t>
      </w:r>
      <w:r>
        <w:rPr>
          <w:rFonts w:cs="David" w:hint="cs"/>
          <w:b/>
          <w:bCs/>
          <w:color w:val="000080"/>
          <w:sz w:val="32"/>
          <w:szCs w:val="32"/>
          <w:rtl/>
        </w:rPr>
        <w:t>מבנה וקישור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בטבלה שלפניך מוצג מידע על המבנה המרחבי של ארבע מולקולות.</w:t>
      </w:r>
    </w:p>
    <w:p w:rsidR="006B0E53" w:rsidRDefault="006B0E5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643"/>
        <w:gridCol w:w="1643"/>
        <w:gridCol w:w="1643"/>
        <w:gridCol w:w="1642"/>
      </w:tblGrid>
      <w:tr w:rsidR="000572F3" w:rsidTr="000572F3">
        <w:tc>
          <w:tcPr>
            <w:tcW w:w="1843" w:type="dxa"/>
          </w:tcPr>
          <w:p w:rsidR="000572F3" w:rsidRDefault="000572F3">
            <w:pPr>
              <w:pStyle w:val="Heading6"/>
            </w:pPr>
            <w:r>
              <w:rPr>
                <w:rFonts w:hint="cs"/>
                <w:rtl/>
              </w:rPr>
              <w:t>המולקולה</w:t>
            </w:r>
          </w:p>
        </w:tc>
        <w:tc>
          <w:tcPr>
            <w:tcW w:w="1643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BF</w:t>
            </w:r>
            <w:r>
              <w:rPr>
                <w:rFonts w:cs="David"/>
                <w:vertAlign w:val="subscript"/>
              </w:rPr>
              <w:t>3</w:t>
            </w:r>
          </w:p>
        </w:tc>
        <w:tc>
          <w:tcPr>
            <w:tcW w:w="1643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CH</w:t>
            </w:r>
            <w:r>
              <w:rPr>
                <w:rFonts w:cs="David"/>
                <w:vertAlign w:val="subscript"/>
              </w:rPr>
              <w:t>2</w:t>
            </w:r>
            <w:r>
              <w:rPr>
                <w:rFonts w:cs="David"/>
              </w:rPr>
              <w:t>O</w:t>
            </w:r>
          </w:p>
        </w:tc>
        <w:tc>
          <w:tcPr>
            <w:tcW w:w="1643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  <w:vertAlign w:val="subscript"/>
              </w:rPr>
            </w:pPr>
            <w:r>
              <w:rPr>
                <w:rFonts w:cs="David"/>
              </w:rPr>
              <w:t>CS</w:t>
            </w:r>
            <w:r>
              <w:rPr>
                <w:rFonts w:cs="David"/>
                <w:vertAlign w:val="subscript"/>
              </w:rPr>
              <w:t>2</w:t>
            </w:r>
          </w:p>
        </w:tc>
        <w:tc>
          <w:tcPr>
            <w:tcW w:w="1642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HCN</w:t>
            </w:r>
          </w:p>
        </w:tc>
      </w:tr>
      <w:tr w:rsidR="000572F3" w:rsidTr="000572F3">
        <w:tc>
          <w:tcPr>
            <w:tcW w:w="1843" w:type="dxa"/>
          </w:tcPr>
          <w:p w:rsidR="000572F3" w:rsidRDefault="000572F3">
            <w:pPr>
              <w:spacing w:before="120" w:after="120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המבנה המרחבי של המולקולה</w:t>
            </w:r>
          </w:p>
        </w:tc>
        <w:tc>
          <w:tcPr>
            <w:tcW w:w="1643" w:type="dxa"/>
            <w:vAlign w:val="center"/>
          </w:tcPr>
          <w:p w:rsidR="000572F3" w:rsidRDefault="000572F3">
            <w:pPr>
              <w:spacing w:before="120" w:after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מישורית משולשת</w:t>
            </w:r>
          </w:p>
        </w:tc>
        <w:tc>
          <w:tcPr>
            <w:tcW w:w="1643" w:type="dxa"/>
            <w:vAlign w:val="center"/>
          </w:tcPr>
          <w:p w:rsidR="000572F3" w:rsidRDefault="000572F3">
            <w:pPr>
              <w:spacing w:before="120" w:after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מישורית משולשת</w:t>
            </w:r>
          </w:p>
        </w:tc>
        <w:tc>
          <w:tcPr>
            <w:tcW w:w="1643" w:type="dxa"/>
            <w:vAlign w:val="center"/>
          </w:tcPr>
          <w:p w:rsidR="000572F3" w:rsidRDefault="000572F3">
            <w:pPr>
              <w:spacing w:before="120" w:after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קווית</w:t>
            </w:r>
          </w:p>
        </w:tc>
        <w:tc>
          <w:tcPr>
            <w:tcW w:w="1642" w:type="dxa"/>
            <w:vAlign w:val="center"/>
          </w:tcPr>
          <w:p w:rsidR="000572F3" w:rsidRDefault="000572F3">
            <w:pPr>
              <w:spacing w:before="120" w:after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קווית</w:t>
            </w:r>
          </w:p>
        </w:tc>
      </w:tr>
    </w:tbl>
    <w:p w:rsidR="006B0E53" w:rsidRDefault="006B0E5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לאילו מבין המולקולות הנתונות יש דו-קוטב קבוע?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</w:rPr>
      </w:pPr>
      <w:r>
        <w:rPr>
          <w:rFonts w:cs="David"/>
        </w:rPr>
        <w:t>5%</w:t>
      </w:r>
      <w:r>
        <w:rPr>
          <w:rFonts w:cs="David" w:hint="cs"/>
          <w:rtl/>
        </w:rPr>
        <w:tab/>
        <w:t>א.</w:t>
      </w:r>
      <w:r>
        <w:rPr>
          <w:rFonts w:cs="David" w:hint="cs"/>
          <w:rtl/>
        </w:rPr>
        <w:tab/>
      </w:r>
      <w:proofErr w:type="gramStart"/>
      <w:r>
        <w:rPr>
          <w:rFonts w:cs="David"/>
        </w:rPr>
        <w:t>CS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 ו</w:t>
      </w:r>
      <w:proofErr w:type="gramEnd"/>
      <w:r>
        <w:rPr>
          <w:rFonts w:cs="David" w:hint="cs"/>
          <w:rtl/>
        </w:rPr>
        <w:t xml:space="preserve">- </w:t>
      </w:r>
      <w:r>
        <w:rPr>
          <w:rFonts w:cs="David"/>
        </w:rPr>
        <w:t>HCN</w:t>
      </w:r>
      <w:r>
        <w:rPr>
          <w:rFonts w:cs="David" w:hint="cs"/>
          <w:rtl/>
        </w:rPr>
        <w:tab/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</w:rPr>
      </w:pPr>
      <w:r>
        <w:rPr>
          <w:rFonts w:cs="David"/>
        </w:rPr>
        <w:t>8%</w:t>
      </w:r>
      <w:r>
        <w:rPr>
          <w:rFonts w:cs="David" w:hint="cs"/>
          <w:rtl/>
        </w:rPr>
        <w:tab/>
        <w:t>ב.</w:t>
      </w:r>
      <w:r>
        <w:rPr>
          <w:rFonts w:cs="David" w:hint="cs"/>
          <w:rtl/>
        </w:rPr>
        <w:tab/>
      </w:r>
      <w:proofErr w:type="gramStart"/>
      <w:r>
        <w:rPr>
          <w:rFonts w:cs="David"/>
        </w:rPr>
        <w:t>BF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 ו</w:t>
      </w:r>
      <w:proofErr w:type="gramEnd"/>
      <w:r>
        <w:rPr>
          <w:rFonts w:cs="David" w:hint="cs"/>
          <w:rtl/>
        </w:rPr>
        <w:t xml:space="preserve">- </w:t>
      </w:r>
      <w:r>
        <w:rPr>
          <w:rFonts w:cs="David"/>
        </w:rPr>
        <w:t>CH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  <w:vertAlign w:val="subscript"/>
          <w:rtl/>
        </w:rPr>
      </w:pPr>
      <w:r>
        <w:rPr>
          <w:rFonts w:cs="David"/>
          <w:b/>
          <w:bCs/>
          <w:highlight w:val="yellow"/>
        </w:rPr>
        <w:t>84%</w:t>
      </w:r>
      <w:r>
        <w:rPr>
          <w:rFonts w:cs="David" w:hint="cs"/>
          <w:b/>
          <w:bCs/>
          <w:highlight w:val="yellow"/>
          <w:rtl/>
        </w:rPr>
        <w:tab/>
        <w:t>ג.</w:t>
      </w:r>
      <w:r>
        <w:rPr>
          <w:rFonts w:cs="David" w:hint="cs"/>
          <w:b/>
          <w:bCs/>
          <w:highlight w:val="yellow"/>
          <w:rtl/>
        </w:rPr>
        <w:tab/>
      </w:r>
      <w:proofErr w:type="gramStart"/>
      <w:r>
        <w:rPr>
          <w:rFonts w:cs="David"/>
          <w:b/>
          <w:bCs/>
          <w:highlight w:val="yellow"/>
        </w:rPr>
        <w:t>CH</w:t>
      </w:r>
      <w:r>
        <w:rPr>
          <w:rFonts w:cs="David"/>
          <w:b/>
          <w:bCs/>
          <w:highlight w:val="yellow"/>
          <w:vertAlign w:val="subscript"/>
        </w:rPr>
        <w:t>2</w:t>
      </w:r>
      <w:r>
        <w:rPr>
          <w:rFonts w:cs="David"/>
          <w:b/>
          <w:bCs/>
          <w:highlight w:val="yellow"/>
        </w:rPr>
        <w:t>O</w:t>
      </w:r>
      <w:r>
        <w:rPr>
          <w:rFonts w:cs="David" w:hint="cs"/>
          <w:b/>
          <w:bCs/>
          <w:highlight w:val="yellow"/>
          <w:rtl/>
        </w:rPr>
        <w:t xml:space="preserve">  ו</w:t>
      </w:r>
      <w:proofErr w:type="gramEnd"/>
      <w:r>
        <w:rPr>
          <w:rFonts w:cs="David" w:hint="cs"/>
          <w:b/>
          <w:bCs/>
          <w:highlight w:val="yellow"/>
          <w:rtl/>
        </w:rPr>
        <w:t xml:space="preserve">- </w:t>
      </w:r>
      <w:r>
        <w:rPr>
          <w:rFonts w:cs="David"/>
          <w:b/>
          <w:bCs/>
          <w:highlight w:val="yellow"/>
        </w:rPr>
        <w:t>HCN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/>
        <w:rPr>
          <w:rFonts w:cs="David"/>
        </w:rPr>
      </w:pPr>
      <w:r>
        <w:rPr>
          <w:rFonts w:cs="David"/>
        </w:rPr>
        <w:t>3%</w:t>
      </w:r>
      <w:r>
        <w:rPr>
          <w:rFonts w:cs="David" w:hint="cs"/>
          <w:rtl/>
        </w:rPr>
        <w:tab/>
        <w:t>ד.</w:t>
      </w:r>
      <w:r>
        <w:rPr>
          <w:rFonts w:cs="David" w:hint="cs"/>
          <w:rtl/>
        </w:rPr>
        <w:tab/>
      </w:r>
      <w:proofErr w:type="gramStart"/>
      <w:r>
        <w:rPr>
          <w:rFonts w:cs="David"/>
        </w:rPr>
        <w:t>BF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 ו</w:t>
      </w:r>
      <w:proofErr w:type="gramEnd"/>
      <w:r>
        <w:rPr>
          <w:rFonts w:cs="David" w:hint="cs"/>
          <w:rtl/>
        </w:rPr>
        <w:t xml:space="preserve">- </w:t>
      </w:r>
      <w:r>
        <w:rPr>
          <w:rFonts w:cs="David"/>
        </w:rPr>
        <w:t>CS</w:t>
      </w:r>
      <w:r>
        <w:rPr>
          <w:rFonts w:cs="David"/>
          <w:vertAlign w:val="subscript"/>
        </w:rPr>
        <w:t>2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 w:hint="cs"/>
          <w:b/>
          <w:bCs/>
          <w:color w:val="000099"/>
          <w:sz w:val="28"/>
          <w:szCs w:val="28"/>
          <w:rtl/>
        </w:rPr>
        <w:t>הנימוק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התשובה הנכונה היא </w:t>
      </w:r>
      <w:r>
        <w:rPr>
          <w:rFonts w:cs="David" w:hint="cs"/>
          <w:b/>
          <w:bCs/>
          <w:color w:val="000080"/>
          <w:rtl/>
        </w:rPr>
        <w:t>ג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מולקולות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O</w:t>
      </w:r>
      <w:r>
        <w:rPr>
          <w:rFonts w:cs="David" w:hint="cs"/>
          <w:color w:val="000080"/>
          <w:rtl/>
        </w:rPr>
        <w:t xml:space="preserve">  ו- </w:t>
      </w:r>
      <w:r>
        <w:rPr>
          <w:rFonts w:cs="David"/>
          <w:color w:val="000080"/>
        </w:rPr>
        <w:t>HCN</w:t>
      </w:r>
      <w:r>
        <w:rPr>
          <w:rFonts w:cs="David" w:hint="cs"/>
          <w:color w:val="000080"/>
          <w:rtl/>
        </w:rPr>
        <w:t xml:space="preserve"> הן </w:t>
      </w:r>
      <w:r w:rsidR="00DC6A5D">
        <w:rPr>
          <w:rFonts w:cs="David" w:hint="cs"/>
          <w:color w:val="000080"/>
          <w:rtl/>
        </w:rPr>
        <w:t>בעלות דו-קוטב קבוע (</w:t>
      </w:r>
      <w:r>
        <w:rPr>
          <w:rFonts w:cs="David" w:hint="cs"/>
          <w:color w:val="000080"/>
          <w:rtl/>
        </w:rPr>
        <w:t>קוטביות</w:t>
      </w:r>
      <w:r w:rsidR="00DC6A5D">
        <w:rPr>
          <w:rFonts w:cs="David" w:hint="cs"/>
          <w:color w:val="000080"/>
          <w:rtl/>
        </w:rPr>
        <w:t>)</w:t>
      </w:r>
      <w:r>
        <w:rPr>
          <w:rFonts w:cs="David" w:hint="cs"/>
          <w:color w:val="000080"/>
          <w:rtl/>
        </w:rPr>
        <w:t>, מכיוון שבכל אחת מהן לאטום הפחמן המרכזי קשורים אטומים שונים, ולכן יש חלוקת מטען לא שווה על פני המולקולה.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המסיחים שכוללים מולקולה </w:t>
      </w:r>
      <w:r>
        <w:rPr>
          <w:rFonts w:cs="David"/>
          <w:color w:val="000080"/>
        </w:rPr>
        <w:t>CS</w:t>
      </w:r>
      <w:r>
        <w:rPr>
          <w:rFonts w:cs="David"/>
          <w:color w:val="000080"/>
          <w:vertAlign w:val="subscript"/>
        </w:rPr>
        <w:t>2</w:t>
      </w:r>
      <w:r>
        <w:rPr>
          <w:rFonts w:cs="David" w:hint="cs"/>
          <w:color w:val="000080"/>
          <w:rtl/>
        </w:rPr>
        <w:t xml:space="preserve"> אינם נכונים, כיוון שלמולקולה זו צורה קווית ולאטום הפחמן המרכזי קשורים אטומים זהים, ולכן יש חלוקת מטען שווה על פני המולקולה - במולקולה אין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דו-קוטב קבוע.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המסיחים שכוללים מולקולה </w:t>
      </w:r>
      <w:r>
        <w:rPr>
          <w:rFonts w:cs="David"/>
          <w:color w:val="000080"/>
        </w:rPr>
        <w:t>BF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אינם נכונים, כיוון שלמולקולה זו צורה של משולש מישורי ולאטום הבור המרכזי קשורים אטומים זהים, ולכן יש חלוקת מטען שווה על פני המולקולה - במולקולה אין דו-קוטב קבוע.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יישום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לקשר בין מבנה מרחבי של מולקולה לקוטביות שלה.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lastRenderedPageBreak/>
        <w:t>לקבוע אם למולקולה נתונה יש דו-קוטב קבוע על פי צורת המולקולה ועל פי חלוקת מטען על פני המולקולה.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להסביר שאם במולקולה לאטום המרכזי קשורים אטומים שונים, יש חלוקת מטען לא שווה על פני המולקולה - במולקולה יש דו-קוטב קבוע.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גבוה. רוב התלמידים זיהו נכון את המולקולות שיש בהן דו-קוטב קבוע.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13% מהתלמידים בחרו במסיחים א ו-ב. הם זיהו נכון מולקולה קוטבית, אך טעו בזיהוי מולקולה שנייה, כי לא הצליחו לקשר בין מבנה מרחבי של מולקולה לקוטביות שלה.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3% מהתלמידים, שבחרו במסיח ד, טעו בזיהוי של שתי מולקולות.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מומלץ לבנות עם התלמידים מודלים של מולקולות שונות. מודלים עוזרים לתלמידים לקבוע את קוטביות המולקולות הנתונות.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לתרגל עם התלמידים רישום נוסחאות מבנה של מולקולות וקביעת קוטביות שלהן תוך הדגשת שני גורמים המשפיעים על קוטביות המולקולה: קוטביות קשרים </w:t>
      </w:r>
      <w:proofErr w:type="spellStart"/>
      <w:r>
        <w:rPr>
          <w:rFonts w:cs="David" w:hint="cs"/>
          <w:rtl/>
        </w:rPr>
        <w:t>קוולנטיים</w:t>
      </w:r>
      <w:proofErr w:type="spellEnd"/>
      <w:r>
        <w:rPr>
          <w:rFonts w:cs="David" w:hint="cs"/>
          <w:rtl/>
        </w:rPr>
        <w:t xml:space="preserve"> בין אטומים ומבנה מרחבי של מולקולה.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יתכן שחלק מהטעויות נובע מחוסר הבחנה בין קוטביות הקשר, שתלויה רק בהפרשי </w:t>
      </w:r>
      <w:proofErr w:type="spellStart"/>
      <w:r>
        <w:rPr>
          <w:rFonts w:cs="David" w:hint="cs"/>
          <w:rtl/>
        </w:rPr>
        <w:t>האלקטרושליליות</w:t>
      </w:r>
      <w:proofErr w:type="spellEnd"/>
      <w:r>
        <w:rPr>
          <w:rFonts w:cs="David" w:hint="cs"/>
          <w:rtl/>
        </w:rPr>
        <w:t xml:space="preserve"> של אטומים, לבין קוטביות המולקולה, שתלויה גם במבנה המרחבי שלה. </w:t>
      </w:r>
    </w:p>
    <w:p w:rsidR="006B0E53" w:rsidRDefault="006B0E53">
      <w:pPr>
        <w:spacing w:line="360" w:lineRule="auto"/>
        <w:ind w:left="-58"/>
        <w:rPr>
          <w:rFonts w:cs="David"/>
          <w:noProof/>
          <w:rtl/>
          <w:lang w:val="he-IL"/>
        </w:rPr>
      </w:pPr>
      <w:r>
        <w:rPr>
          <w:rFonts w:cs="David" w:hint="cs"/>
          <w:rtl/>
        </w:rPr>
        <w:t>לכן מומלץ לתת לתלמידים תרגילים שבהם יש לקבוע את קוטביות המולקולות</w:t>
      </w:r>
      <w:r>
        <w:rPr>
          <w:rFonts w:cs="David" w:hint="cs"/>
          <w:noProof/>
          <w:rtl/>
          <w:lang w:val="he-IL"/>
        </w:rPr>
        <w:t>. בתרגילים אלה מומלץ לכלול:</w:t>
      </w:r>
    </w:p>
    <w:p w:rsidR="008E7292" w:rsidRDefault="008E7292">
      <w:pPr>
        <w:spacing w:line="360" w:lineRule="auto"/>
        <w:ind w:left="-58"/>
        <w:rPr>
          <w:rFonts w:cs="David"/>
          <w:noProof/>
          <w:rtl/>
          <w:lang w:val="he-IL"/>
        </w:rPr>
      </w:pPr>
    </w:p>
    <w:p w:rsidR="006B0E53" w:rsidRDefault="006B0E53">
      <w:pPr>
        <w:tabs>
          <w:tab w:val="left" w:pos="5045"/>
        </w:tabs>
        <w:spacing w:line="360" w:lineRule="auto"/>
        <w:ind w:left="425" w:hanging="425"/>
        <w:rPr>
          <w:rFonts w:cs="David"/>
          <w:noProof/>
          <w:rtl/>
        </w:rPr>
      </w:pPr>
      <w:r>
        <w:rPr>
          <w:rFonts w:cs="David"/>
          <w:noProof/>
          <w:lang w:val="he-IL"/>
        </w:rPr>
        <w:sym w:font="Wingdings" w:char="F077"/>
      </w:r>
      <w:r>
        <w:rPr>
          <w:rFonts w:cs="David" w:hint="cs"/>
          <w:noProof/>
          <w:rtl/>
          <w:lang w:val="he-IL"/>
        </w:rPr>
        <w:tab/>
        <w:t>מולקולות קוטביות בעלות אותה צורה. למשל:</w:t>
      </w:r>
      <w:r>
        <w:rPr>
          <w:rFonts w:cs="David" w:hint="cs"/>
          <w:noProof/>
          <w:rtl/>
          <w:lang w:val="he-IL"/>
        </w:rPr>
        <w:tab/>
        <w:t xml:space="preserve"> </w:t>
      </w:r>
      <w:r>
        <w:rPr>
          <w:rFonts w:cs="David"/>
          <w:noProof/>
        </w:rPr>
        <w:t xml:space="preserve"> HCN</w:t>
      </w:r>
      <w:r>
        <w:rPr>
          <w:rFonts w:cs="David" w:hint="cs"/>
          <w:noProof/>
          <w:rtl/>
        </w:rPr>
        <w:t xml:space="preserve"> ו-  </w:t>
      </w:r>
      <w:r>
        <w:rPr>
          <w:rFonts w:cs="David"/>
          <w:noProof/>
        </w:rPr>
        <w:t xml:space="preserve">  HF</w:t>
      </w:r>
    </w:p>
    <w:p w:rsidR="006B0E53" w:rsidRDefault="006B0E53">
      <w:pPr>
        <w:tabs>
          <w:tab w:val="left" w:pos="5045"/>
        </w:tabs>
        <w:spacing w:line="360" w:lineRule="auto"/>
        <w:ind w:left="425" w:hanging="425"/>
        <w:rPr>
          <w:rFonts w:cs="David"/>
          <w:noProof/>
        </w:rPr>
      </w:pPr>
      <w:r>
        <w:rPr>
          <w:rFonts w:cs="David" w:hint="cs"/>
          <w:noProof/>
          <w:rtl/>
          <w:lang w:val="he-IL"/>
        </w:rPr>
        <w:tab/>
      </w:r>
      <w:r>
        <w:rPr>
          <w:rFonts w:cs="David" w:hint="cs"/>
          <w:noProof/>
          <w:rtl/>
          <w:lang w:val="he-IL"/>
        </w:rPr>
        <w:tab/>
      </w:r>
      <w:r>
        <w:rPr>
          <w:rFonts w:cs="David"/>
          <w:noProof/>
        </w:rPr>
        <w:t>CH</w:t>
      </w:r>
      <w:r>
        <w:rPr>
          <w:rFonts w:cs="David"/>
          <w:noProof/>
          <w:vertAlign w:val="subscript"/>
        </w:rPr>
        <w:t>2</w:t>
      </w:r>
      <w:r>
        <w:rPr>
          <w:rFonts w:cs="David"/>
          <w:noProof/>
        </w:rPr>
        <w:t xml:space="preserve">O </w:t>
      </w:r>
      <w:r>
        <w:rPr>
          <w:rFonts w:cs="David" w:hint="cs"/>
          <w:noProof/>
          <w:rtl/>
        </w:rPr>
        <w:t xml:space="preserve">  ו-  </w:t>
      </w:r>
      <w:r>
        <w:rPr>
          <w:rFonts w:cs="David"/>
          <w:noProof/>
        </w:rPr>
        <w:t xml:space="preserve">  BCl</w:t>
      </w:r>
      <w:r>
        <w:rPr>
          <w:rFonts w:cs="David"/>
          <w:noProof/>
          <w:vertAlign w:val="subscript"/>
        </w:rPr>
        <w:t>2</w:t>
      </w:r>
      <w:r>
        <w:rPr>
          <w:rFonts w:cs="David"/>
          <w:noProof/>
        </w:rPr>
        <w:t>I</w:t>
      </w:r>
    </w:p>
    <w:p w:rsidR="006B0E53" w:rsidRDefault="006B0E53">
      <w:pPr>
        <w:tabs>
          <w:tab w:val="left" w:pos="5187"/>
        </w:tabs>
        <w:spacing w:line="360" w:lineRule="auto"/>
        <w:ind w:left="425" w:hanging="425"/>
        <w:rPr>
          <w:rFonts w:cs="David"/>
          <w:noProof/>
          <w:rtl/>
        </w:rPr>
      </w:pPr>
      <w:r>
        <w:rPr>
          <w:rFonts w:cs="David"/>
          <w:noProof/>
          <w:lang w:val="he-IL"/>
        </w:rPr>
        <w:sym w:font="Wingdings" w:char="F077"/>
      </w:r>
      <w:r>
        <w:rPr>
          <w:rFonts w:cs="David" w:hint="cs"/>
          <w:noProof/>
          <w:rtl/>
          <w:lang w:val="he-IL"/>
        </w:rPr>
        <w:tab/>
        <w:t>מוקולות לא קוטביות בעלות אותה צורה. למשל:</w:t>
      </w:r>
      <w:r>
        <w:rPr>
          <w:rFonts w:cs="David" w:hint="cs"/>
          <w:noProof/>
          <w:rtl/>
          <w:lang w:val="he-IL"/>
        </w:rPr>
        <w:tab/>
      </w:r>
      <w:r>
        <w:rPr>
          <w:rFonts w:cs="David"/>
          <w:noProof/>
        </w:rPr>
        <w:t xml:space="preserve">  H</w:t>
      </w:r>
      <w:r>
        <w:rPr>
          <w:rFonts w:cs="David"/>
          <w:noProof/>
          <w:vertAlign w:val="subscript"/>
        </w:rPr>
        <w:t>2</w:t>
      </w:r>
      <w:r>
        <w:rPr>
          <w:rFonts w:cs="David" w:hint="cs"/>
          <w:noProof/>
          <w:rtl/>
        </w:rPr>
        <w:t xml:space="preserve">ו-  </w:t>
      </w:r>
      <w:r>
        <w:rPr>
          <w:rFonts w:cs="David"/>
          <w:noProof/>
        </w:rPr>
        <w:t xml:space="preserve">  Cl</w:t>
      </w:r>
      <w:r>
        <w:rPr>
          <w:rFonts w:cs="David"/>
          <w:noProof/>
          <w:vertAlign w:val="subscript"/>
        </w:rPr>
        <w:t>2</w:t>
      </w:r>
      <w:r>
        <w:rPr>
          <w:rFonts w:cs="David" w:hint="cs"/>
          <w:noProof/>
          <w:rtl/>
        </w:rPr>
        <w:t xml:space="preserve">    </w:t>
      </w:r>
    </w:p>
    <w:p w:rsidR="006B0E53" w:rsidRDefault="006B0E53">
      <w:pPr>
        <w:tabs>
          <w:tab w:val="left" w:pos="5187"/>
        </w:tabs>
        <w:spacing w:line="360" w:lineRule="auto"/>
        <w:ind w:left="425" w:hanging="425"/>
        <w:rPr>
          <w:rFonts w:cs="David"/>
          <w:noProof/>
          <w:rtl/>
        </w:rPr>
      </w:pPr>
      <w:r>
        <w:rPr>
          <w:rFonts w:cs="David" w:hint="cs"/>
          <w:noProof/>
          <w:rtl/>
        </w:rPr>
        <w:tab/>
      </w:r>
      <w:r>
        <w:rPr>
          <w:rFonts w:cs="David" w:hint="cs"/>
          <w:noProof/>
          <w:rtl/>
        </w:rPr>
        <w:tab/>
      </w:r>
      <w:r>
        <w:rPr>
          <w:rFonts w:cs="David"/>
          <w:noProof/>
        </w:rPr>
        <w:t xml:space="preserve">  CCl</w:t>
      </w:r>
      <w:r>
        <w:rPr>
          <w:rFonts w:cs="David"/>
          <w:noProof/>
          <w:vertAlign w:val="subscript"/>
        </w:rPr>
        <w:t>4</w:t>
      </w:r>
      <w:r>
        <w:rPr>
          <w:rFonts w:cs="David" w:hint="cs"/>
          <w:noProof/>
          <w:rtl/>
        </w:rPr>
        <w:t xml:space="preserve">ו-  </w:t>
      </w:r>
      <w:r>
        <w:rPr>
          <w:rFonts w:cs="David"/>
          <w:noProof/>
        </w:rPr>
        <w:t xml:space="preserve">  CBr</w:t>
      </w:r>
      <w:r>
        <w:rPr>
          <w:rFonts w:cs="David"/>
          <w:noProof/>
          <w:vertAlign w:val="subscript"/>
        </w:rPr>
        <w:t>4</w:t>
      </w:r>
    </w:p>
    <w:p w:rsidR="006B0E53" w:rsidRDefault="006B0E53">
      <w:pPr>
        <w:tabs>
          <w:tab w:val="left" w:pos="5187"/>
        </w:tabs>
        <w:spacing w:line="360" w:lineRule="auto"/>
        <w:ind w:left="425" w:hanging="425"/>
        <w:rPr>
          <w:noProof/>
          <w:rtl/>
          <w:lang w:val="he-IL"/>
        </w:rPr>
      </w:pPr>
      <w:r>
        <w:rPr>
          <w:rFonts w:cs="David"/>
          <w:noProof/>
          <w:lang w:val="he-IL"/>
        </w:rPr>
        <w:sym w:font="Wingdings" w:char="F077"/>
      </w:r>
      <w:r>
        <w:rPr>
          <w:rFonts w:cs="David" w:hint="cs"/>
          <w:noProof/>
          <w:rtl/>
          <w:lang w:val="he-IL"/>
        </w:rPr>
        <w:tab/>
        <w:t xml:space="preserve">מולקולות קוטביות בעלות צורות שונות. למשל: </w:t>
      </w:r>
      <w:r>
        <w:rPr>
          <w:rFonts w:cs="David" w:hint="cs"/>
          <w:noProof/>
          <w:rtl/>
          <w:lang w:val="he-IL"/>
        </w:rPr>
        <w:tab/>
      </w:r>
      <w:r>
        <w:rPr>
          <w:rFonts w:cs="David"/>
          <w:noProof/>
        </w:rPr>
        <w:t xml:space="preserve">  H</w:t>
      </w:r>
      <w:r>
        <w:rPr>
          <w:rFonts w:cs="David"/>
          <w:noProof/>
          <w:vertAlign w:val="subscript"/>
        </w:rPr>
        <w:t>2</w:t>
      </w:r>
      <w:r>
        <w:rPr>
          <w:rFonts w:cs="David"/>
          <w:noProof/>
        </w:rPr>
        <w:t xml:space="preserve">O </w:t>
      </w:r>
      <w:r>
        <w:rPr>
          <w:rFonts w:cs="David" w:hint="cs"/>
          <w:noProof/>
          <w:rtl/>
        </w:rPr>
        <w:t xml:space="preserve">ו-  </w:t>
      </w:r>
      <w:r>
        <w:rPr>
          <w:rFonts w:cs="David"/>
          <w:noProof/>
        </w:rPr>
        <w:t xml:space="preserve">  CHCl</w:t>
      </w:r>
      <w:r>
        <w:rPr>
          <w:rFonts w:cs="David"/>
          <w:noProof/>
          <w:vertAlign w:val="subscript"/>
        </w:rPr>
        <w:t>3</w:t>
      </w:r>
    </w:p>
    <w:p w:rsidR="006B0E53" w:rsidRPr="00DC6A5D" w:rsidRDefault="00DC6A5D" w:rsidP="00DC6A5D">
      <w:pPr>
        <w:spacing w:line="360" w:lineRule="auto"/>
        <w:ind w:left="-58"/>
        <w:rPr>
          <w:rFonts w:cs="David"/>
          <w:rtl/>
        </w:rPr>
      </w:pPr>
      <w:r w:rsidRPr="00DC6A5D">
        <w:rPr>
          <w:rFonts w:cs="David" w:hint="cs"/>
          <w:rtl/>
        </w:rPr>
        <w:t xml:space="preserve">יש להשתמש בכיתה בשני </w:t>
      </w:r>
      <w:proofErr w:type="spellStart"/>
      <w:r w:rsidRPr="00DC6A5D">
        <w:rPr>
          <w:rFonts w:cs="David" w:hint="cs"/>
          <w:rtl/>
        </w:rPr>
        <w:t>מינוחים</w:t>
      </w:r>
      <w:proofErr w:type="spellEnd"/>
      <w:r w:rsidRPr="00DC6A5D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מולקולות בעלות דו-קוטב קבוע ומולקולות קוטביות.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32"/>
          <w:szCs w:val="32"/>
          <w:rtl/>
        </w:rPr>
      </w:pPr>
    </w:p>
    <w:sectPr w:rsidR="006B0E53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3E" w:rsidRDefault="00B2013E">
      <w:r>
        <w:separator/>
      </w:r>
    </w:p>
  </w:endnote>
  <w:endnote w:type="continuationSeparator" w:id="0">
    <w:p w:rsidR="00B2013E" w:rsidRDefault="00B2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B18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3E" w:rsidRDefault="00B2013E">
      <w:r>
        <w:separator/>
      </w:r>
    </w:p>
  </w:footnote>
  <w:footnote w:type="continuationSeparator" w:id="0">
    <w:p w:rsidR="00B2013E" w:rsidRDefault="00B2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B1894"/>
    <w:rsid w:val="003C790E"/>
    <w:rsid w:val="003D38E7"/>
    <w:rsid w:val="00405845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765C0"/>
    <w:rsid w:val="007B4A86"/>
    <w:rsid w:val="007B4B30"/>
    <w:rsid w:val="007E293A"/>
    <w:rsid w:val="00844676"/>
    <w:rsid w:val="00851191"/>
    <w:rsid w:val="00854632"/>
    <w:rsid w:val="00866D3E"/>
    <w:rsid w:val="008726EE"/>
    <w:rsid w:val="0088068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013E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F32FC"/>
    <w:rsid w:val="00EF54F4"/>
    <w:rsid w:val="00F05CC8"/>
    <w:rsid w:val="00F558DE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4D60-295B-44B9-A2FD-CC7F3D35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2422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dcterms:created xsi:type="dcterms:W3CDTF">2017-04-02T11:06:00Z</dcterms:created>
  <dcterms:modified xsi:type="dcterms:W3CDTF">2017-04-02T11:19:00Z</dcterms:modified>
</cp:coreProperties>
</file>