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479" w:rsidRDefault="006C7106" w:rsidP="00FD1AFB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6"/>
          <w:szCs w:val="26"/>
          <w:rtl/>
        </w:rPr>
        <w:t>לכבוד מנהלי החטיבות העליונות,</w:t>
      </w:r>
    </w:p>
    <w:p w:rsidR="00200479" w:rsidRDefault="006C7106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שלום רב,</w:t>
      </w:r>
    </w:p>
    <w:p w:rsidR="00200479" w:rsidRDefault="00200479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200479" w:rsidRPr="0087741C" w:rsidRDefault="006C710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87741C">
        <w:rPr>
          <w:rFonts w:ascii="Arial" w:eastAsia="Arial" w:hAnsi="Arial" w:cs="Arial"/>
          <w:b/>
          <w:sz w:val="28"/>
          <w:szCs w:val="28"/>
          <w:rtl/>
        </w:rPr>
        <w:t>הנדון :</w:t>
      </w:r>
      <w:r w:rsidRPr="0087741C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</w:t>
      </w:r>
      <w:r w:rsidR="0087741C">
        <w:rPr>
          <w:rFonts w:ascii="Arial" w:eastAsia="Arial" w:hAnsi="Arial" w:cs="Arial" w:hint="cs"/>
          <w:b/>
          <w:sz w:val="28"/>
          <w:szCs w:val="28"/>
          <w:u w:val="single"/>
          <w:rtl/>
        </w:rPr>
        <w:t>הצטרפות ל</w:t>
      </w:r>
      <w:r w:rsidRPr="0087741C">
        <w:rPr>
          <w:rFonts w:ascii="Arial" w:eastAsia="Arial" w:hAnsi="Arial" w:cs="Arial"/>
          <w:b/>
          <w:sz w:val="28"/>
          <w:szCs w:val="28"/>
          <w:u w:val="single"/>
          <w:rtl/>
        </w:rPr>
        <w:t>בחינות בגרות מתוקשבות עתירות מדיה</w:t>
      </w:r>
      <w:r w:rsidR="0087741C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תשע"ח</w:t>
      </w:r>
    </w:p>
    <w:p w:rsidR="00200479" w:rsidRPr="0087741C" w:rsidRDefault="006C7106" w:rsidP="0087741C">
      <w:pPr>
        <w:spacing w:before="280" w:after="28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במסגרת ה"</w:t>
      </w:r>
      <w:hyperlink r:id="rId8">
        <w:r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חממה</w:t>
        </w:r>
      </w:hyperlink>
      <w:hyperlink r:id="rId9">
        <w:r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הפדגוגית</w:t>
        </w:r>
      </w:hyperlink>
      <w:r>
        <w:rPr>
          <w:rFonts w:ascii="Arial" w:eastAsia="Arial" w:hAnsi="Arial" w:cs="Arial"/>
          <w:sz w:val="26"/>
          <w:szCs w:val="26"/>
          <w:rtl/>
        </w:rPr>
        <w:t xml:space="preserve">", המזכירות הפדגוגית </w:t>
      </w:r>
      <w:r w:rsidR="00FD1AFB">
        <w:rPr>
          <w:rFonts w:ascii="Arial" w:eastAsia="Arial" w:hAnsi="Arial" w:cs="Arial" w:hint="cs"/>
          <w:sz w:val="26"/>
          <w:szCs w:val="26"/>
          <w:rtl/>
        </w:rPr>
        <w:t>ממשיכה</w:t>
      </w:r>
      <w:r>
        <w:rPr>
          <w:rFonts w:ascii="Arial" w:eastAsia="Arial" w:hAnsi="Arial" w:cs="Arial"/>
          <w:sz w:val="26"/>
          <w:szCs w:val="26"/>
          <w:rtl/>
        </w:rPr>
        <w:t xml:space="preserve"> ביחד עם המנהל הפדגוגי ומנהל תקשוב טכנולוגיה ומערכות מידע, </w:t>
      </w:r>
      <w:r w:rsidR="00FD1AFB">
        <w:rPr>
          <w:rFonts w:ascii="Arial" w:eastAsia="Arial" w:hAnsi="Arial" w:cs="Arial" w:hint="cs"/>
          <w:sz w:val="26"/>
          <w:szCs w:val="26"/>
          <w:rtl/>
        </w:rPr>
        <w:t xml:space="preserve">להוביל </w:t>
      </w:r>
      <w:r>
        <w:rPr>
          <w:rFonts w:ascii="Arial" w:eastAsia="Arial" w:hAnsi="Arial" w:cs="Arial"/>
          <w:sz w:val="26"/>
          <w:szCs w:val="26"/>
          <w:rtl/>
        </w:rPr>
        <w:t xml:space="preserve">מהלך של </w:t>
      </w:r>
      <w:r>
        <w:rPr>
          <w:rFonts w:ascii="Arial" w:eastAsia="Arial" w:hAnsi="Arial" w:cs="Arial"/>
          <w:b/>
          <w:sz w:val="26"/>
          <w:szCs w:val="26"/>
          <w:rtl/>
        </w:rPr>
        <w:t>הרחבת, פיתוח והפעלת בחינות בגרות מתוקשבות עתירות מדיה.</w:t>
      </w:r>
      <w:r w:rsidR="0087741C">
        <w:rPr>
          <w:rFonts w:ascii="Arial" w:eastAsia="Arial" w:hAnsi="Arial" w:cs="Arial" w:hint="cs"/>
          <w:b/>
          <w:sz w:val="26"/>
          <w:szCs w:val="26"/>
          <w:rtl/>
        </w:rPr>
        <w:t xml:space="preserve"> </w:t>
      </w:r>
      <w:r>
        <w:rPr>
          <w:rFonts w:ascii="Arial" w:eastAsia="Arial" w:hAnsi="Arial" w:cs="Arial"/>
          <w:b/>
          <w:sz w:val="26"/>
          <w:szCs w:val="26"/>
          <w:rtl/>
        </w:rPr>
        <w:t>"החממה הפדגוגית" עוסקת בגיוון בדרכי הוראה למידה והערכה ושילוב חשיבה, ערכים, מעורבות אישית של הלומדים ומיומנויות המאה ה-21.</w:t>
      </w:r>
    </w:p>
    <w:p w:rsidR="00200479" w:rsidRDefault="006C7106" w:rsidP="0087741C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הבחינות המתוקשבות משלבות פריטים עתירי מדיה כגון</w:t>
      </w:r>
      <w:r w:rsidR="00FD1AFB">
        <w:rPr>
          <w:rFonts w:ascii="Arial" w:eastAsia="Arial" w:hAnsi="Arial" w:cs="Arial" w:hint="cs"/>
          <w:sz w:val="26"/>
          <w:szCs w:val="26"/>
          <w:rtl/>
        </w:rPr>
        <w:t>:</w:t>
      </w:r>
      <w:r>
        <w:rPr>
          <w:rFonts w:ascii="Arial" w:eastAsia="Arial" w:hAnsi="Arial" w:cs="Arial"/>
          <w:sz w:val="26"/>
          <w:szCs w:val="26"/>
          <w:rtl/>
        </w:rPr>
        <w:t xml:space="preserve"> סרטונים, מפות שכבתיות וסימולציות וכך מזמנות למידה רב-חושית, חווייתית ורלוונטית ללומדים. מטרת המעבר להערכה מתוקשבת היא לעודד שימוש מיטבי בטכנולוגיה בלמידה והוראה כחלק מהתאמת מערכת החינוך למאה ה- 21. </w:t>
      </w:r>
    </w:p>
    <w:p w:rsidR="00200479" w:rsidRDefault="006C7106" w:rsidP="0087741C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 xml:space="preserve">מהלך זה הבשיל, לאחר צבירת ניסיון רב </w:t>
      </w:r>
      <w:r w:rsidR="00FD1AFB">
        <w:rPr>
          <w:rFonts w:ascii="Arial" w:eastAsia="Arial" w:hAnsi="Arial" w:cs="Arial" w:hint="cs"/>
          <w:sz w:val="26"/>
          <w:szCs w:val="26"/>
          <w:rtl/>
        </w:rPr>
        <w:t xml:space="preserve">שנים </w:t>
      </w:r>
      <w:r>
        <w:rPr>
          <w:rFonts w:ascii="Arial" w:eastAsia="Arial" w:hAnsi="Arial" w:cs="Arial"/>
          <w:sz w:val="26"/>
          <w:szCs w:val="26"/>
          <w:rtl/>
        </w:rPr>
        <w:t xml:space="preserve">בהפעלת בחינות בגרות מתוקשבות </w:t>
      </w:r>
      <w:r w:rsidR="00FD1AFB">
        <w:rPr>
          <w:rFonts w:ascii="Arial" w:eastAsia="Arial" w:hAnsi="Arial" w:cs="Arial"/>
          <w:sz w:val="26"/>
          <w:szCs w:val="26"/>
          <w:rtl/>
        </w:rPr>
        <w:t>במקצועות: ביולוגיה</w:t>
      </w:r>
      <w:r w:rsidR="00FD1AFB">
        <w:rPr>
          <w:rFonts w:ascii="Arial" w:eastAsia="Arial" w:hAnsi="Arial" w:cs="Arial" w:hint="cs"/>
          <w:sz w:val="26"/>
          <w:szCs w:val="26"/>
          <w:rtl/>
        </w:rPr>
        <w:t xml:space="preserve"> ו</w:t>
      </w:r>
      <w:r w:rsidR="00E46836">
        <w:rPr>
          <w:rFonts w:ascii="Arial" w:eastAsia="Arial" w:hAnsi="Arial" w:cs="Arial"/>
          <w:sz w:val="26"/>
          <w:szCs w:val="26"/>
          <w:rtl/>
        </w:rPr>
        <w:t>ג</w:t>
      </w:r>
      <w:r>
        <w:rPr>
          <w:rFonts w:ascii="Arial" w:eastAsia="Arial" w:hAnsi="Arial" w:cs="Arial"/>
          <w:sz w:val="26"/>
          <w:szCs w:val="26"/>
          <w:rtl/>
        </w:rPr>
        <w:t>אוגרפיה</w:t>
      </w:r>
      <w:r w:rsidR="00E46836">
        <w:rPr>
          <w:rFonts w:ascii="Arial" w:eastAsia="Arial" w:hAnsi="Arial" w:cs="Arial" w:hint="cs"/>
          <w:sz w:val="26"/>
          <w:szCs w:val="26"/>
          <w:rtl/>
        </w:rPr>
        <w:t>-אדם וסביבה</w:t>
      </w:r>
      <w:r>
        <w:rPr>
          <w:rFonts w:ascii="Arial" w:eastAsia="Arial" w:hAnsi="Arial" w:cs="Arial"/>
          <w:sz w:val="26"/>
          <w:szCs w:val="26"/>
          <w:rtl/>
        </w:rPr>
        <w:t xml:space="preserve">, ובמקצועות </w:t>
      </w:r>
      <w:r w:rsidR="00FD1AFB">
        <w:rPr>
          <w:rFonts w:ascii="Arial" w:eastAsia="Arial" w:hAnsi="Arial" w:cs="Arial" w:hint="cs"/>
          <w:sz w:val="26"/>
          <w:szCs w:val="26"/>
          <w:rtl/>
        </w:rPr>
        <w:t>ה</w:t>
      </w:r>
      <w:r>
        <w:rPr>
          <w:rFonts w:ascii="Arial" w:eastAsia="Arial" w:hAnsi="Arial" w:cs="Arial"/>
          <w:sz w:val="26"/>
          <w:szCs w:val="26"/>
          <w:rtl/>
        </w:rPr>
        <w:t xml:space="preserve">בחירה </w:t>
      </w:r>
      <w:r w:rsidR="00FD1AFB">
        <w:rPr>
          <w:rFonts w:ascii="Arial" w:eastAsia="Arial" w:hAnsi="Arial" w:cs="Arial" w:hint="cs"/>
          <w:sz w:val="26"/>
          <w:szCs w:val="26"/>
          <w:rtl/>
        </w:rPr>
        <w:t>ה</w:t>
      </w:r>
      <w:r w:rsidR="00FD1AFB">
        <w:rPr>
          <w:rFonts w:ascii="Arial" w:eastAsia="Arial" w:hAnsi="Arial" w:cs="Arial"/>
          <w:sz w:val="26"/>
          <w:szCs w:val="26"/>
          <w:rtl/>
        </w:rPr>
        <w:t>טכנולוגיים</w:t>
      </w:r>
      <w:r w:rsidR="00FD1AFB">
        <w:rPr>
          <w:rFonts w:ascii="Arial" w:eastAsia="Arial" w:hAnsi="Arial" w:cs="Arial" w:hint="cs"/>
          <w:sz w:val="26"/>
          <w:szCs w:val="26"/>
          <w:rtl/>
        </w:rPr>
        <w:t xml:space="preserve"> וכן בהפעלת בחינות מתוקשבות בשנה"ל תשע"ז במקצועות החובה: היסטוריה ממלכתי, תנ"ך ממלכתי ועברית למגזר הערבי.</w:t>
      </w:r>
    </w:p>
    <w:p w:rsidR="0087741C" w:rsidRDefault="00FD1AFB" w:rsidP="00D569BF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  <w:rtl/>
        </w:rPr>
      </w:pPr>
      <w:r>
        <w:rPr>
          <w:rFonts w:ascii="Arial" w:eastAsia="Arial" w:hAnsi="Arial" w:cs="Arial"/>
          <w:sz w:val="26"/>
          <w:szCs w:val="26"/>
          <w:rtl/>
        </w:rPr>
        <w:t>בשנת הלימודים תשע"</w:t>
      </w:r>
      <w:r>
        <w:rPr>
          <w:rFonts w:ascii="Arial" w:eastAsia="Arial" w:hAnsi="Arial" w:cs="Arial" w:hint="cs"/>
          <w:sz w:val="26"/>
          <w:szCs w:val="26"/>
          <w:rtl/>
        </w:rPr>
        <w:t>ח</w:t>
      </w:r>
      <w:r w:rsidR="006C7106">
        <w:rPr>
          <w:rFonts w:ascii="Arial" w:eastAsia="Arial" w:hAnsi="Arial" w:cs="Arial"/>
          <w:sz w:val="26"/>
          <w:szCs w:val="26"/>
          <w:rtl/>
        </w:rPr>
        <w:t xml:space="preserve"> יופעלו בבתי ספר שיבחרו להצטרף, בחינות בגרות מתוקשבות מלאות על כל החומר במקצועות החובה והבחירה הבאים: 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>היסטוריה ממלכתי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="00772D44" w:rsidRPr="00772D44">
        <w:rPr>
          <w:rFonts w:ascii="Arial" w:eastAsia="Arial" w:hAnsi="Arial" w:cs="Arial"/>
          <w:sz w:val="26"/>
          <w:szCs w:val="26"/>
        </w:rPr>
        <w:t>022281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>, תנ"ך ממלכתי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="00772D44" w:rsidRPr="00772D44">
        <w:rPr>
          <w:rFonts w:ascii="Arial" w:eastAsia="Arial" w:hAnsi="Arial" w:cs="Arial"/>
          <w:sz w:val="26"/>
          <w:szCs w:val="26"/>
        </w:rPr>
        <w:t>001281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>, עברית לדוברי ערבית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="00772D44" w:rsidRPr="00772D44">
        <w:rPr>
          <w:rFonts w:ascii="Arial" w:eastAsia="Arial" w:hAnsi="Arial" w:cs="Arial"/>
          <w:sz w:val="26"/>
          <w:szCs w:val="26"/>
        </w:rPr>
        <w:t>014381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 xml:space="preserve">, </w:t>
      </w:r>
      <w:r w:rsidR="00117063" w:rsidRPr="00772D44">
        <w:rPr>
          <w:rFonts w:ascii="Arial" w:eastAsia="Arial" w:hAnsi="Arial" w:cs="Arial" w:hint="cs"/>
          <w:sz w:val="26"/>
          <w:szCs w:val="26"/>
          <w:rtl/>
        </w:rPr>
        <w:t>כימיה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="00D569BF">
        <w:rPr>
          <w:rFonts w:ascii="Arial" w:eastAsia="Arial" w:hAnsi="Arial" w:cs="Arial" w:hint="cs"/>
          <w:sz w:val="26"/>
          <w:szCs w:val="26"/>
          <w:rtl/>
        </w:rPr>
        <w:t>037387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="00117063" w:rsidRPr="00772D44">
        <w:rPr>
          <w:rFonts w:ascii="Arial" w:eastAsia="Arial" w:hAnsi="Arial" w:cs="Arial" w:hint="cs"/>
          <w:sz w:val="26"/>
          <w:szCs w:val="26"/>
          <w:rtl/>
        </w:rPr>
        <w:t xml:space="preserve">, </w:t>
      </w:r>
      <w:r w:rsidR="00E46836" w:rsidRPr="00772D44">
        <w:rPr>
          <w:rFonts w:ascii="Arial" w:eastAsia="Arial" w:hAnsi="Arial" w:cs="Arial"/>
          <w:sz w:val="26"/>
          <w:szCs w:val="26"/>
          <w:rtl/>
        </w:rPr>
        <w:t>ג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>אוגרפיה</w:t>
      </w:r>
      <w:r w:rsidR="00E46836" w:rsidRPr="00772D44">
        <w:rPr>
          <w:rFonts w:ascii="Arial" w:eastAsia="Arial" w:hAnsi="Arial" w:cs="Arial" w:hint="cs"/>
          <w:sz w:val="26"/>
          <w:szCs w:val="26"/>
          <w:rtl/>
        </w:rPr>
        <w:t>-אדם וסביבה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="00772D44" w:rsidRPr="00772D44">
        <w:rPr>
          <w:rFonts w:ascii="Arial" w:eastAsia="Arial" w:hAnsi="Arial" w:cs="Arial"/>
          <w:sz w:val="26"/>
          <w:szCs w:val="26"/>
          <w:rtl/>
        </w:rPr>
        <w:t>057387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>, ביולוגיה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="00772D44" w:rsidRPr="00772D44">
        <w:rPr>
          <w:rFonts w:ascii="Arial" w:eastAsia="Arial" w:hAnsi="Arial" w:cs="Arial"/>
          <w:sz w:val="26"/>
          <w:szCs w:val="26"/>
        </w:rPr>
        <w:t>043387</w:t>
      </w:r>
      <w:r w:rsidR="00772D44"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 xml:space="preserve"> ובמקצועות הטכנולוגיה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 שיפורטו בנפרד</w:t>
      </w:r>
      <w:r w:rsidR="006C7106" w:rsidRPr="00772D44">
        <w:rPr>
          <w:rFonts w:ascii="Arial" w:eastAsia="Arial" w:hAnsi="Arial" w:cs="Arial"/>
          <w:sz w:val="26"/>
          <w:szCs w:val="26"/>
          <w:rtl/>
        </w:rPr>
        <w:t>.</w:t>
      </w:r>
      <w:r w:rsidR="006C7106" w:rsidRPr="00772D44">
        <w:rPr>
          <w:rFonts w:ascii="Arial" w:eastAsia="Arial" w:hAnsi="Arial" w:cs="Arial"/>
          <w:sz w:val="26"/>
          <w:szCs w:val="26"/>
        </w:rPr>
        <w:t xml:space="preserve"> </w:t>
      </w:r>
      <w:r w:rsidR="000B4415" w:rsidRPr="00772D44">
        <w:rPr>
          <w:rFonts w:ascii="Arial" w:eastAsia="Arial" w:hAnsi="Arial" w:cs="Arial"/>
          <w:sz w:val="26"/>
          <w:szCs w:val="26"/>
          <w:rtl/>
        </w:rPr>
        <w:t xml:space="preserve">להיבחנות מתוקשבת במקצוע עברית לדוברי עברית (שאלון 11281) </w:t>
      </w:r>
      <w:r w:rsidR="005E5FE8" w:rsidRPr="00772D44">
        <w:rPr>
          <w:rFonts w:ascii="Arial" w:eastAsia="Arial" w:hAnsi="Arial" w:cs="Arial" w:hint="cs"/>
          <w:sz w:val="26"/>
          <w:szCs w:val="26"/>
          <w:rtl/>
        </w:rPr>
        <w:t>י</w:t>
      </w:r>
      <w:r w:rsidR="000B4415" w:rsidRPr="00772D44">
        <w:rPr>
          <w:rFonts w:ascii="Arial" w:eastAsia="Arial" w:hAnsi="Arial" w:cs="Arial"/>
          <w:sz w:val="26"/>
          <w:szCs w:val="26"/>
          <w:rtl/>
        </w:rPr>
        <w:t>צא קול קורא נפרד בתחילת</w:t>
      </w:r>
      <w:r w:rsidR="000B4415" w:rsidRPr="000B4415">
        <w:rPr>
          <w:rFonts w:ascii="Arial" w:eastAsia="Arial" w:hAnsi="Arial" w:cs="Arial"/>
          <w:b/>
          <w:sz w:val="26"/>
          <w:szCs w:val="26"/>
          <w:rtl/>
        </w:rPr>
        <w:t xml:space="preserve"> שנה״ל תשע״ח</w:t>
      </w:r>
      <w:r w:rsidR="000B4415">
        <w:rPr>
          <w:rFonts w:ascii="Arial" w:eastAsia="Arial" w:hAnsi="Arial" w:cs="Arial" w:hint="cs"/>
          <w:b/>
          <w:sz w:val="26"/>
          <w:szCs w:val="26"/>
          <w:rtl/>
        </w:rPr>
        <w:t>.</w:t>
      </w:r>
    </w:p>
    <w:p w:rsidR="00200479" w:rsidRDefault="006C7106" w:rsidP="0087741C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 xml:space="preserve">המשרד יעמיד לרשות </w:t>
      </w:r>
      <w:r w:rsidR="00E46836">
        <w:rPr>
          <w:rFonts w:ascii="Arial" w:eastAsia="Arial" w:hAnsi="Arial" w:cs="Arial"/>
          <w:sz w:val="26"/>
          <w:szCs w:val="26"/>
          <w:rtl/>
        </w:rPr>
        <w:t>בתי הספר והמורים שיבחרו להצטרף,</w:t>
      </w:r>
      <w:r>
        <w:rPr>
          <w:rFonts w:ascii="Arial" w:eastAsia="Arial" w:hAnsi="Arial" w:cs="Arial"/>
          <w:sz w:val="26"/>
          <w:szCs w:val="26"/>
          <w:rtl/>
        </w:rPr>
        <w:t xml:space="preserve"> את כל המידע הרלוונטי, הכשרות, תמיכה מקצועית / טכנית ומענה שוטף ורציף.</w:t>
      </w:r>
      <w:r w:rsidR="00E46836">
        <w:rPr>
          <w:rFonts w:ascii="Arial" w:eastAsia="Arial" w:hAnsi="Arial" w:cs="Arial" w:hint="cs"/>
          <w:sz w:val="26"/>
          <w:szCs w:val="26"/>
          <w:rtl/>
        </w:rPr>
        <w:t xml:space="preserve"> </w:t>
      </w:r>
      <w:r w:rsidR="00E46836" w:rsidRPr="00E46836">
        <w:rPr>
          <w:rFonts w:ascii="Arial" w:eastAsia="Arial" w:hAnsi="Arial" w:cs="Arial"/>
          <w:sz w:val="26"/>
          <w:szCs w:val="26"/>
          <w:rtl/>
        </w:rPr>
        <w:t>המורים שיצטרפו יוזמנו להשתתף בקורס מקוון דיסציפלינארי בהיקף של 30 שעות עם ציון וזאת במטרה להתאים את ההוראה לתהליך ההערכה ולהיערך באופן מיטבי לביצוע הבחינה המקוונת</w:t>
      </w:r>
      <w:r w:rsidR="00E46836" w:rsidRPr="00E46836">
        <w:rPr>
          <w:rFonts w:ascii="Arial" w:eastAsia="Arial" w:hAnsi="Arial" w:cs="Arial"/>
          <w:sz w:val="26"/>
          <w:szCs w:val="26"/>
        </w:rPr>
        <w:t>.</w:t>
      </w:r>
    </w:p>
    <w:p w:rsidR="00200479" w:rsidRDefault="0087741C" w:rsidP="0087741C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87741C">
        <w:rPr>
          <w:rFonts w:ascii="Arial" w:eastAsia="Arial" w:hAnsi="Arial" w:cs="Arial"/>
          <w:sz w:val="26"/>
          <w:szCs w:val="26"/>
          <w:rtl/>
        </w:rPr>
        <w:t>מורים המעוניינים להצטרף השנה לקבוצת המובילים ולהגיש תלמידים לבחינת הבגרות המתוקשבת, ימלאו ט</w:t>
      </w:r>
      <w:r>
        <w:rPr>
          <w:rFonts w:ascii="Arial" w:eastAsia="Arial" w:hAnsi="Arial" w:cs="Arial"/>
          <w:sz w:val="26"/>
          <w:szCs w:val="26"/>
          <w:rtl/>
        </w:rPr>
        <w:t>פסים אלה בתאום עם מנהל בית הספר</w:t>
      </w:r>
      <w:r w:rsidR="006C7106">
        <w:rPr>
          <w:rFonts w:ascii="Arial" w:eastAsia="Arial" w:hAnsi="Arial" w:cs="Arial"/>
          <w:sz w:val="26"/>
          <w:szCs w:val="26"/>
          <w:rtl/>
        </w:rPr>
        <w:t>:</w:t>
      </w:r>
    </w:p>
    <w:p w:rsidR="00200479" w:rsidRPr="005D4E70" w:rsidRDefault="00311C2A" w:rsidP="002B618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color w:val="0000FF"/>
          <w:sz w:val="26"/>
          <w:szCs w:val="26"/>
          <w:u w:val="single"/>
        </w:rPr>
      </w:pPr>
      <w:hyperlink r:id="rId11" w:history="1">
        <w:r w:rsidR="006C7106" w:rsidRPr="000B4415">
          <w:rPr>
            <w:rStyle w:val="Hyperlink"/>
            <w:rFonts w:ascii="Arial" w:eastAsia="Arial" w:hAnsi="Arial" w:cs="Arial"/>
            <w:sz w:val="26"/>
            <w:szCs w:val="26"/>
            <w:rtl/>
          </w:rPr>
          <w:t xml:space="preserve">טופס </w:t>
        </w:r>
        <w:r w:rsidR="002B618A" w:rsidRPr="000B4415">
          <w:rPr>
            <w:rStyle w:val="Hyperlink"/>
            <w:rFonts w:ascii="Arial" w:eastAsia="Arial" w:hAnsi="Arial" w:cs="Arial"/>
            <w:sz w:val="26"/>
            <w:szCs w:val="26"/>
            <w:rtl/>
          </w:rPr>
          <w:t>ההרשמ</w:t>
        </w:r>
        <w:r w:rsidR="002B618A" w:rsidRPr="000B4415">
          <w:rPr>
            <w:rStyle w:val="Hyperlink"/>
            <w:rFonts w:ascii="Arial" w:eastAsia="Arial" w:hAnsi="Arial" w:cs="Arial" w:hint="cs"/>
            <w:sz w:val="26"/>
            <w:szCs w:val="26"/>
            <w:rtl/>
          </w:rPr>
          <w:t>ה</w:t>
        </w:r>
      </w:hyperlink>
    </w:p>
    <w:p w:rsidR="0087741C" w:rsidRPr="0087741C" w:rsidRDefault="00311C2A" w:rsidP="0087741C">
      <w:pPr>
        <w:numPr>
          <w:ilvl w:val="0"/>
          <w:numId w:val="1"/>
        </w:numPr>
        <w:spacing w:after="280" w:line="240" w:lineRule="auto"/>
        <w:ind w:hanging="360"/>
        <w:contextualSpacing/>
        <w:jc w:val="both"/>
        <w:rPr>
          <w:rFonts w:ascii="Arial" w:eastAsia="Arial" w:hAnsi="Arial" w:cs="Arial"/>
          <w:sz w:val="26"/>
          <w:szCs w:val="26"/>
        </w:rPr>
      </w:pPr>
      <w:hyperlink r:id="rId12" w:history="1">
        <w:r w:rsidR="0087741C" w:rsidRPr="005D4E70">
          <w:rPr>
            <w:rStyle w:val="Hyperlink"/>
            <w:rFonts w:ascii="Arial" w:eastAsia="Arial" w:hAnsi="Arial" w:cs="Arial" w:hint="cs"/>
            <w:sz w:val="26"/>
            <w:szCs w:val="26"/>
            <w:rtl/>
          </w:rPr>
          <w:t>דרישות הסף הפדגוגיות</w:t>
        </w:r>
      </w:hyperlink>
      <w:r w:rsidR="0087741C">
        <w:rPr>
          <w:rFonts w:ascii="Arial" w:eastAsia="Arial" w:hAnsi="Arial" w:cs="Arial" w:hint="cs"/>
          <w:color w:val="0000FF"/>
          <w:sz w:val="26"/>
          <w:szCs w:val="26"/>
          <w:u w:val="single"/>
          <w:rtl/>
        </w:rPr>
        <w:t xml:space="preserve"> </w:t>
      </w:r>
    </w:p>
    <w:p w:rsidR="00200479" w:rsidRPr="005D4E70" w:rsidRDefault="00311C2A">
      <w:pPr>
        <w:numPr>
          <w:ilvl w:val="0"/>
          <w:numId w:val="1"/>
        </w:numPr>
        <w:spacing w:after="280" w:line="240" w:lineRule="auto"/>
        <w:ind w:hanging="360"/>
        <w:contextualSpacing/>
        <w:jc w:val="both"/>
        <w:rPr>
          <w:rFonts w:ascii="Arial" w:eastAsia="Arial" w:hAnsi="Arial" w:cs="Arial"/>
          <w:sz w:val="26"/>
          <w:szCs w:val="26"/>
        </w:rPr>
      </w:pPr>
      <w:hyperlink r:id="rId13">
        <w:r w:rsidR="006C7106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דרישות</w:t>
        </w:r>
      </w:hyperlink>
      <w:hyperlink r:id="rId14">
        <w:r w:rsidR="006C7106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 xml:space="preserve"> </w:t>
        </w:r>
      </w:hyperlink>
      <w:hyperlink r:id="rId15">
        <w:r w:rsidR="006C7106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הסף</w:t>
        </w:r>
      </w:hyperlink>
      <w:hyperlink r:id="rId16">
        <w:r w:rsidR="006C7106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 xml:space="preserve"> </w:t>
        </w:r>
      </w:hyperlink>
      <w:hyperlink r:id="rId17">
        <w:r w:rsidR="006C7106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הטכנולוגיות</w:t>
        </w:r>
      </w:hyperlink>
    </w:p>
    <w:p w:rsidR="005E5FE8" w:rsidRPr="005D4E70" w:rsidRDefault="005E5FE8" w:rsidP="005E5FE8">
      <w:pPr>
        <w:spacing w:after="280" w:line="240" w:lineRule="auto"/>
        <w:ind w:left="720"/>
        <w:contextualSpacing/>
        <w:jc w:val="both"/>
        <w:rPr>
          <w:rFonts w:ascii="Arial" w:eastAsia="Arial" w:hAnsi="Arial" w:cs="Arial"/>
          <w:sz w:val="26"/>
          <w:szCs w:val="26"/>
          <w:rtl/>
        </w:rPr>
      </w:pPr>
    </w:p>
    <w:p w:rsidR="00200479" w:rsidRDefault="006C7106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בברכת המשך שיתוף פעולה פורה</w:t>
      </w:r>
      <w:r w:rsidR="0087741C">
        <w:rPr>
          <w:rFonts w:ascii="Arial" w:eastAsia="Arial" w:hAnsi="Arial" w:cs="Arial" w:hint="cs"/>
          <w:sz w:val="26"/>
          <w:szCs w:val="26"/>
          <w:rtl/>
        </w:rPr>
        <w:t>,</w:t>
      </w:r>
    </w:p>
    <w:p w:rsidR="00FD1AFB" w:rsidRDefault="0087741C" w:rsidP="0087741C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  <w:rtl/>
        </w:rPr>
      </w:pPr>
      <w:r>
        <w:rPr>
          <w:rFonts w:ascii="Arial" w:eastAsia="Arial" w:hAnsi="Arial" w:cs="Arial"/>
          <w:sz w:val="26"/>
          <w:szCs w:val="26"/>
          <w:rtl/>
        </w:rPr>
        <w:t xml:space="preserve">דליה </w:t>
      </w:r>
      <w:proofErr w:type="spellStart"/>
      <w:r>
        <w:rPr>
          <w:rFonts w:ascii="Arial" w:eastAsia="Arial" w:hAnsi="Arial" w:cs="Arial"/>
          <w:sz w:val="26"/>
          <w:szCs w:val="26"/>
          <w:rtl/>
        </w:rPr>
        <w:t>פניג</w:t>
      </w:r>
      <w:proofErr w:type="spellEnd"/>
      <w:r>
        <w:rPr>
          <w:rFonts w:ascii="Arial" w:eastAsia="Arial" w:hAnsi="Arial" w:cs="Arial"/>
          <w:sz w:val="26"/>
          <w:szCs w:val="26"/>
          <w:rtl/>
        </w:rPr>
        <w:t xml:space="preserve">, סגנית יו"ר </w:t>
      </w:r>
      <w:proofErr w:type="spellStart"/>
      <w:r>
        <w:rPr>
          <w:rFonts w:ascii="Arial" w:eastAsia="Arial" w:hAnsi="Arial" w:cs="Arial"/>
          <w:sz w:val="26"/>
          <w:szCs w:val="26"/>
          <w:rtl/>
        </w:rPr>
        <w:t>המזה"פ</w:t>
      </w:r>
      <w:proofErr w:type="spellEnd"/>
      <w:r w:rsidR="006C7106">
        <w:rPr>
          <w:rFonts w:ascii="Arial" w:eastAsia="Arial" w:hAnsi="Arial" w:cs="Arial"/>
          <w:sz w:val="26"/>
          <w:szCs w:val="26"/>
          <w:rtl/>
        </w:rPr>
        <w:t xml:space="preserve"> </w:t>
      </w:r>
    </w:p>
    <w:p w:rsidR="00200479" w:rsidRDefault="006C7106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מנהלת אגף א לפיתוח פדגוגי</w:t>
      </w:r>
    </w:p>
    <w:p w:rsidR="00200479" w:rsidRDefault="00200479">
      <w:pPr>
        <w:spacing w:after="24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rtl/>
        </w:rPr>
        <w:lastRenderedPageBreak/>
        <w:t>העתק:</w:t>
      </w:r>
    </w:p>
    <w:p w:rsidR="00200479" w:rsidRDefault="00BD7585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 w:hint="cs"/>
          <w:sz w:val="20"/>
          <w:szCs w:val="20"/>
          <w:rtl/>
        </w:rPr>
        <w:t>מ</w:t>
      </w:r>
      <w:r w:rsidR="00FD1AFB">
        <w:rPr>
          <w:rFonts w:ascii="Arial" w:eastAsia="Arial" w:hAnsi="Arial" w:cs="Arial" w:hint="cs"/>
          <w:sz w:val="20"/>
          <w:szCs w:val="20"/>
          <w:rtl/>
        </w:rPr>
        <w:t xml:space="preserve">ר שמואל </w:t>
      </w:r>
      <w:proofErr w:type="spellStart"/>
      <w:r w:rsidR="00FD1AFB">
        <w:rPr>
          <w:rFonts w:ascii="Arial" w:eastAsia="Arial" w:hAnsi="Arial" w:cs="Arial" w:hint="cs"/>
          <w:sz w:val="20"/>
          <w:szCs w:val="20"/>
          <w:rtl/>
        </w:rPr>
        <w:t>אבואב</w:t>
      </w:r>
      <w:proofErr w:type="spellEnd"/>
      <w:r w:rsidR="00FD1AFB">
        <w:rPr>
          <w:rFonts w:ascii="Arial" w:eastAsia="Arial" w:hAnsi="Arial" w:cs="Arial"/>
          <w:sz w:val="20"/>
          <w:szCs w:val="20"/>
          <w:rtl/>
        </w:rPr>
        <w:t>, מנכ"ל</w:t>
      </w:r>
      <w:r w:rsidR="006C7106">
        <w:rPr>
          <w:rFonts w:ascii="Arial" w:eastAsia="Arial" w:hAnsi="Arial" w:cs="Arial"/>
          <w:sz w:val="20"/>
          <w:szCs w:val="20"/>
          <w:rtl/>
        </w:rPr>
        <w:t xml:space="preserve"> משרד החינוך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ד"ר משה וינשטוק יו"ר המזכירות הפדגוגית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אריאל לוי מנהל המנהל הפדגוגי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ד"ר עופר רימון ראש מנהל תקשוב מדע וטכנולוגיה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ד"ר חגית גליקמן, מנכ"לית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ראמ"ה</w:t>
      </w:r>
      <w:proofErr w:type="spellEnd"/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מנהלי מחוזות</w:t>
      </w:r>
    </w:p>
    <w:p w:rsidR="00E46836" w:rsidRDefault="00E4683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מנהלי מחלקות חינוך 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דויד גל מנהל אגף בחינות (בפועל)</w:t>
      </w:r>
    </w:p>
    <w:p w:rsidR="00FD1AFB" w:rsidRPr="00FD1AFB" w:rsidRDefault="00FD1AFB" w:rsidP="00FD1AFB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proofErr w:type="spellStart"/>
      <w:r>
        <w:rPr>
          <w:rFonts w:ascii="Arial" w:eastAsia="Arial" w:hAnsi="Arial" w:cs="Arial"/>
          <w:sz w:val="20"/>
          <w:szCs w:val="20"/>
          <w:rtl/>
        </w:rPr>
        <w:t>דסי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בארי, מנהלת אגף א' לחינוך על יסודי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רוני דיין, מנהל אגף טכנולוגיות מידע, מנהל תקשוב מדע וטכנולוגיה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קובי רפאלי, מנהל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פרוייקטים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בכיר,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מינהל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תקשוב מדע וטכנולוגיה</w:t>
      </w:r>
    </w:p>
    <w:p w:rsidR="00200479" w:rsidRDefault="006C7106" w:rsidP="00FD1AFB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מנהלי אגפים מזכירות פדגוגית: ד"ר </w:t>
      </w:r>
      <w:proofErr w:type="spellStart"/>
      <w:r w:rsidR="00FD1AFB">
        <w:rPr>
          <w:rFonts w:ascii="Arial" w:eastAsia="Arial" w:hAnsi="Arial" w:cs="Arial" w:hint="cs"/>
          <w:sz w:val="20"/>
          <w:szCs w:val="20"/>
          <w:rtl/>
        </w:rPr>
        <w:t>גילמור</w:t>
      </w:r>
      <w:proofErr w:type="spellEnd"/>
      <w:r w:rsidR="00FD1AFB">
        <w:rPr>
          <w:rFonts w:ascii="Arial" w:eastAsia="Arial" w:hAnsi="Arial" w:cs="Arial" w:hint="cs"/>
          <w:sz w:val="20"/>
          <w:szCs w:val="20"/>
          <w:rtl/>
        </w:rPr>
        <w:t xml:space="preserve"> קשת</w:t>
      </w:r>
      <w:r>
        <w:rPr>
          <w:rFonts w:ascii="Arial" w:eastAsia="Arial" w:hAnsi="Arial" w:cs="Arial"/>
          <w:sz w:val="20"/>
          <w:szCs w:val="20"/>
          <w:rtl/>
        </w:rPr>
        <w:t xml:space="preserve"> – מדעים, אלירז קראוס- חברה ורוח, משה זעפרני- שפות, צילה מירון מורשת</w:t>
      </w:r>
    </w:p>
    <w:p w:rsidR="00200479" w:rsidRDefault="006C7106" w:rsidP="00FD1AFB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rtl/>
        </w:rPr>
        <w:t>מפמרי"ם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>: ענת צידון- תנ"ך ממלכתי, ד"ר האני מוסא- עברית לדוברי ערבית, ד"ר אורנה כץ אתר- ה</w:t>
      </w:r>
      <w:r w:rsidR="00FD1AFB">
        <w:rPr>
          <w:rFonts w:ascii="Arial" w:eastAsia="Arial" w:hAnsi="Arial" w:cs="Arial" w:hint="cs"/>
          <w:sz w:val="20"/>
          <w:szCs w:val="20"/>
          <w:rtl/>
        </w:rPr>
        <w:t>י</w:t>
      </w:r>
      <w:r>
        <w:rPr>
          <w:rFonts w:ascii="Arial" w:eastAsia="Arial" w:hAnsi="Arial" w:cs="Arial"/>
          <w:sz w:val="20"/>
          <w:szCs w:val="20"/>
          <w:rtl/>
        </w:rPr>
        <w:t xml:space="preserve">סטוריה ממלכתי, </w:t>
      </w:r>
      <w:r w:rsidR="00FD1AFB">
        <w:rPr>
          <w:rFonts w:ascii="Arial" w:eastAsia="Arial" w:hAnsi="Arial" w:cs="Arial"/>
          <w:sz w:val="20"/>
          <w:szCs w:val="20"/>
          <w:rtl/>
        </w:rPr>
        <w:t xml:space="preserve">תומר </w:t>
      </w:r>
      <w:proofErr w:type="spellStart"/>
      <w:r w:rsidR="00FD1AFB">
        <w:rPr>
          <w:rFonts w:ascii="Arial" w:eastAsia="Arial" w:hAnsi="Arial" w:cs="Arial"/>
          <w:sz w:val="20"/>
          <w:szCs w:val="20"/>
          <w:rtl/>
        </w:rPr>
        <w:t>בוזמן</w:t>
      </w:r>
      <w:proofErr w:type="spellEnd"/>
      <w:r w:rsidR="00FD1AFB">
        <w:rPr>
          <w:rFonts w:ascii="Arial" w:eastAsia="Arial" w:hAnsi="Arial" w:cs="Arial"/>
          <w:sz w:val="20"/>
          <w:szCs w:val="20"/>
          <w:rtl/>
        </w:rPr>
        <w:t>- לשון, פנינה גזית- ג</w:t>
      </w:r>
      <w:r>
        <w:rPr>
          <w:rFonts w:ascii="Arial" w:eastAsia="Arial" w:hAnsi="Arial" w:cs="Arial"/>
          <w:sz w:val="20"/>
          <w:szCs w:val="20"/>
          <w:rtl/>
        </w:rPr>
        <w:t>אוגרפיה</w:t>
      </w:r>
      <w:r w:rsidR="00FD1AFB">
        <w:rPr>
          <w:rFonts w:ascii="Arial" w:eastAsia="Arial" w:hAnsi="Arial" w:cs="Arial" w:hint="cs"/>
          <w:sz w:val="20"/>
          <w:szCs w:val="20"/>
          <w:rtl/>
        </w:rPr>
        <w:t>-</w:t>
      </w:r>
      <w:r>
        <w:rPr>
          <w:rFonts w:ascii="Arial" w:eastAsia="Arial" w:hAnsi="Arial" w:cs="Arial"/>
          <w:sz w:val="20"/>
          <w:szCs w:val="20"/>
          <w:rtl/>
        </w:rPr>
        <w:t>אדם וסביבה, ד"ר אירית שדה- ביולוגיה</w:t>
      </w:r>
      <w:r w:rsidR="001976B0">
        <w:rPr>
          <w:rFonts w:ascii="Arial" w:eastAsia="Arial" w:hAnsi="Arial" w:cs="Arial" w:hint="cs"/>
          <w:sz w:val="20"/>
          <w:szCs w:val="20"/>
          <w:rtl/>
        </w:rPr>
        <w:t>, ד"ר דורית טייטלבאום - כימיה</w:t>
      </w:r>
      <w:r>
        <w:rPr>
          <w:rFonts w:ascii="Arial" w:eastAsia="Arial" w:hAnsi="Arial" w:cs="Arial"/>
          <w:sz w:val="20"/>
          <w:szCs w:val="20"/>
          <w:rtl/>
        </w:rPr>
        <w:t>.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ענבל נגבי, מנהלת פרויקטים פדגוגיים אגף א לפיתוח פדגוגי</w:t>
      </w:r>
    </w:p>
    <w:p w:rsidR="00200479" w:rsidRDefault="006C710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אימן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זועבי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, ממונה פדגוגיה דיגיטלית במגזר הערבי, אגף א לפיתוח פדגוגי</w:t>
      </w:r>
    </w:p>
    <w:p w:rsidR="00BD7585" w:rsidRDefault="001976B0" w:rsidP="00BD7585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 w:hint="cs"/>
          <w:sz w:val="20"/>
          <w:szCs w:val="20"/>
          <w:rtl/>
        </w:rPr>
        <w:t>אילנה כהן, מנהלת המרכז לבחינות בגרות,</w:t>
      </w:r>
      <w:r w:rsidR="00BD7585">
        <w:rPr>
          <w:rFonts w:ascii="Arial" w:eastAsia="Arial" w:hAnsi="Arial" w:cs="Arial" w:hint="cs"/>
          <w:sz w:val="20"/>
          <w:szCs w:val="20"/>
          <w:rtl/>
        </w:rPr>
        <w:t xml:space="preserve"> מכון סאלד</w:t>
      </w:r>
    </w:p>
    <w:p w:rsidR="00200479" w:rsidRDefault="00BD7585" w:rsidP="00BD7585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ד"ר </w:t>
      </w:r>
      <w:r>
        <w:rPr>
          <w:rFonts w:ascii="Arial" w:eastAsia="Arial" w:hAnsi="Arial" w:cs="Arial"/>
          <w:sz w:val="20"/>
          <w:szCs w:val="20"/>
          <w:rtl/>
        </w:rPr>
        <w:t xml:space="preserve">טלי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פרוי</w:t>
      </w:r>
      <w:r w:rsidR="001976B0">
        <w:rPr>
          <w:rFonts w:ascii="Arial" w:eastAsia="Arial" w:hAnsi="Arial" w:cs="Arial" w:hint="cs"/>
          <w:sz w:val="20"/>
          <w:szCs w:val="20"/>
          <w:rtl/>
        </w:rPr>
        <w:t>נ</w:t>
      </w:r>
      <w:r>
        <w:rPr>
          <w:rFonts w:ascii="Arial" w:eastAsia="Arial" w:hAnsi="Arial" w:cs="Arial"/>
          <w:sz w:val="20"/>
          <w:szCs w:val="20"/>
          <w:rtl/>
        </w:rPr>
        <w:t>ד</w:t>
      </w:r>
      <w:proofErr w:type="spellEnd"/>
      <w:r>
        <w:rPr>
          <w:rFonts w:ascii="Arial" w:eastAsia="Arial" w:hAnsi="Arial" w:cs="Arial" w:hint="cs"/>
          <w:sz w:val="20"/>
          <w:szCs w:val="20"/>
          <w:rtl/>
        </w:rPr>
        <w:t xml:space="preserve">, </w:t>
      </w:r>
      <w:proofErr w:type="spellStart"/>
      <w:r w:rsidR="001976B0" w:rsidRPr="001976B0">
        <w:rPr>
          <w:rFonts w:ascii="Arial" w:eastAsia="Arial" w:hAnsi="Arial" w:cs="Arial"/>
          <w:sz w:val="20"/>
          <w:szCs w:val="20"/>
          <w:rtl/>
        </w:rPr>
        <w:t>סמנכלי"ת</w:t>
      </w:r>
      <w:proofErr w:type="spellEnd"/>
      <w:r w:rsidR="001976B0" w:rsidRPr="001976B0">
        <w:rPr>
          <w:rFonts w:ascii="Arial" w:eastAsia="Arial" w:hAnsi="Arial" w:cs="Arial"/>
          <w:sz w:val="20"/>
          <w:szCs w:val="20"/>
          <w:rtl/>
        </w:rPr>
        <w:t xml:space="preserve"> וראש </w:t>
      </w:r>
      <w:proofErr w:type="spellStart"/>
      <w:r w:rsidR="001976B0" w:rsidRPr="001976B0">
        <w:rPr>
          <w:rFonts w:ascii="Arial" w:eastAsia="Arial" w:hAnsi="Arial" w:cs="Arial"/>
          <w:sz w:val="20"/>
          <w:szCs w:val="20"/>
          <w:rtl/>
        </w:rPr>
        <w:t>מינהלת</w:t>
      </w:r>
      <w:proofErr w:type="spellEnd"/>
      <w:r w:rsidR="001976B0" w:rsidRPr="001976B0">
        <w:rPr>
          <w:rFonts w:ascii="Arial" w:eastAsia="Arial" w:hAnsi="Arial" w:cs="Arial"/>
          <w:sz w:val="20"/>
          <w:szCs w:val="20"/>
          <w:rtl/>
        </w:rPr>
        <w:t xml:space="preserve"> מדידה והערכה</w:t>
      </w:r>
      <w:r w:rsidR="001976B0" w:rsidRPr="001976B0">
        <w:rPr>
          <w:rFonts w:ascii="Arial" w:eastAsia="Arial" w:hAnsi="Arial" w:cs="Arial" w:hint="cs"/>
          <w:sz w:val="20"/>
          <w:szCs w:val="20"/>
          <w:rtl/>
        </w:rPr>
        <w:t xml:space="preserve">, </w:t>
      </w:r>
      <w:r w:rsidR="001976B0" w:rsidRPr="001976B0">
        <w:rPr>
          <w:rFonts w:ascii="Arial" w:eastAsia="Arial" w:hAnsi="Arial" w:cs="Arial"/>
          <w:sz w:val="20"/>
          <w:szCs w:val="20"/>
          <w:rtl/>
        </w:rPr>
        <w:t>מטח</w:t>
      </w:r>
    </w:p>
    <w:p w:rsidR="001976B0" w:rsidRPr="001976B0" w:rsidRDefault="001976B0" w:rsidP="001976B0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חוה נוימן, </w:t>
      </w:r>
      <w:r w:rsidRPr="001976B0">
        <w:rPr>
          <w:rFonts w:ascii="Arial" w:eastAsia="Arial" w:hAnsi="Arial" w:cs="Arial"/>
          <w:sz w:val="20"/>
          <w:szCs w:val="20"/>
          <w:rtl/>
        </w:rPr>
        <w:t>מנהלת פיתוח מבחני בגרות וגמר</w:t>
      </w:r>
      <w:r>
        <w:rPr>
          <w:rFonts w:ascii="Arial" w:eastAsia="Arial" w:hAnsi="Arial" w:cs="Arial" w:hint="cs"/>
          <w:sz w:val="20"/>
          <w:szCs w:val="20"/>
          <w:rtl/>
        </w:rPr>
        <w:t>, מטח</w:t>
      </w:r>
    </w:p>
    <w:p w:rsidR="001976B0" w:rsidRDefault="001976B0" w:rsidP="00BD7585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תהילה </w:t>
      </w:r>
      <w:proofErr w:type="spellStart"/>
      <w:r>
        <w:rPr>
          <w:rFonts w:ascii="Arial" w:eastAsia="Arial" w:hAnsi="Arial" w:cs="Arial" w:hint="cs"/>
          <w:sz w:val="20"/>
          <w:szCs w:val="20"/>
          <w:rtl/>
        </w:rPr>
        <w:t>סנד</w:t>
      </w:r>
      <w:proofErr w:type="spellEnd"/>
      <w:r>
        <w:rPr>
          <w:rFonts w:ascii="Arial" w:eastAsia="Arial" w:hAnsi="Arial" w:cs="Arial" w:hint="cs"/>
          <w:sz w:val="20"/>
          <w:szCs w:val="20"/>
          <w:rtl/>
        </w:rPr>
        <w:t xml:space="preserve">, </w:t>
      </w:r>
      <w:r w:rsidRPr="001976B0">
        <w:rPr>
          <w:rFonts w:ascii="Arial" w:eastAsia="Arial" w:hAnsi="Arial" w:cs="Arial"/>
          <w:sz w:val="20"/>
          <w:szCs w:val="20"/>
          <w:rtl/>
        </w:rPr>
        <w:t>ראש צוות סביבות הערכה מתוקשבות</w:t>
      </w:r>
      <w:r>
        <w:rPr>
          <w:rFonts w:ascii="Arial" w:eastAsia="Arial" w:hAnsi="Arial" w:cs="Arial" w:hint="cs"/>
          <w:sz w:val="20"/>
          <w:szCs w:val="20"/>
          <w:rtl/>
        </w:rPr>
        <w:t>, מטח</w:t>
      </w:r>
    </w:p>
    <w:p w:rsidR="001976B0" w:rsidRDefault="001976B0" w:rsidP="00BD7585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</w:p>
    <w:p w:rsidR="00200479" w:rsidRDefault="00200479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</w:p>
    <w:sectPr w:rsidR="00200479">
      <w:headerReference w:type="default" r:id="rId18"/>
      <w:pgSz w:w="11906" w:h="16838"/>
      <w:pgMar w:top="109" w:right="1418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2A" w:rsidRDefault="00311C2A">
      <w:pPr>
        <w:spacing w:after="0" w:line="240" w:lineRule="auto"/>
      </w:pPr>
      <w:r>
        <w:separator/>
      </w:r>
    </w:p>
  </w:endnote>
  <w:endnote w:type="continuationSeparator" w:id="0">
    <w:p w:rsidR="00311C2A" w:rsidRDefault="0031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2A" w:rsidRDefault="00311C2A">
      <w:pPr>
        <w:spacing w:after="0" w:line="240" w:lineRule="auto"/>
      </w:pPr>
      <w:r>
        <w:separator/>
      </w:r>
    </w:p>
  </w:footnote>
  <w:footnote w:type="continuationSeparator" w:id="0">
    <w:p w:rsidR="00311C2A" w:rsidRDefault="0031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79" w:rsidRDefault="00FD1AFB">
    <w:pPr>
      <w:spacing w:before="709"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447675</wp:posOffset>
          </wp:positionV>
          <wp:extent cx="475615" cy="561975"/>
          <wp:effectExtent l="0" t="0" r="635" b="9525"/>
          <wp:wrapTight wrapText="bothSides">
            <wp:wrapPolygon edited="0">
              <wp:start x="0" y="0"/>
              <wp:lineTo x="0" y="21234"/>
              <wp:lineTo x="20764" y="21234"/>
              <wp:lineTo x="20764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ממה פדגוג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bidiVisual/>
      <w:tblW w:w="10490" w:type="dxa"/>
      <w:tblInd w:w="-718" w:type="dxa"/>
      <w:tblBorders>
        <w:top w:val="nil"/>
        <w:left w:val="nil"/>
        <w:bottom w:val="single" w:sz="4" w:space="0" w:color="DBEEF3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2"/>
      <w:gridCol w:w="3969"/>
      <w:gridCol w:w="3119"/>
    </w:tblGrid>
    <w:tr w:rsidR="00200479">
      <w:tc>
        <w:tcPr>
          <w:tcW w:w="3402" w:type="dxa"/>
        </w:tcPr>
        <w:p w:rsidR="00200479" w:rsidRDefault="00200479">
          <w:pPr>
            <w:contextualSpacing w:val="0"/>
            <w:jc w:val="center"/>
          </w:pPr>
        </w:p>
      </w:tc>
      <w:tc>
        <w:tcPr>
          <w:tcW w:w="3969" w:type="dxa"/>
        </w:tcPr>
        <w:p w:rsidR="00200479" w:rsidRDefault="006C7106">
          <w:pPr>
            <w:tabs>
              <w:tab w:val="center" w:pos="4153"/>
              <w:tab w:val="right" w:pos="8306"/>
            </w:tabs>
            <w:contextualSpacing w:val="0"/>
            <w:jc w:val="center"/>
            <w:rPr>
              <w:sz w:val="26"/>
              <w:szCs w:val="26"/>
            </w:rPr>
          </w:pPr>
          <w:r>
            <w:rPr>
              <w:rFonts w:cs="Times New Roman"/>
              <w:sz w:val="26"/>
              <w:szCs w:val="26"/>
              <w:rtl/>
            </w:rPr>
            <w:t>מדינת ישראל</w:t>
          </w:r>
        </w:p>
        <w:p w:rsidR="00200479" w:rsidRDefault="006C7106">
          <w:pPr>
            <w:tabs>
              <w:tab w:val="center" w:pos="4153"/>
              <w:tab w:val="right" w:pos="8306"/>
            </w:tabs>
            <w:contextualSpacing w:val="0"/>
            <w:jc w:val="center"/>
            <w:rPr>
              <w:sz w:val="26"/>
              <w:szCs w:val="26"/>
            </w:rPr>
          </w:pPr>
          <w:r>
            <w:rPr>
              <w:rFonts w:cs="Times New Roman"/>
              <w:sz w:val="26"/>
              <w:szCs w:val="26"/>
              <w:rtl/>
            </w:rPr>
            <w:t>משרד החינוך</w:t>
          </w:r>
        </w:p>
        <w:p w:rsidR="00200479" w:rsidRDefault="006C7106">
          <w:pPr>
            <w:contextualSpacing w:val="0"/>
            <w:jc w:val="center"/>
          </w:pPr>
          <w:r>
            <w:rPr>
              <w:rFonts w:cs="Times New Roman"/>
              <w:sz w:val="26"/>
              <w:szCs w:val="26"/>
              <w:rtl/>
            </w:rPr>
            <w:t>המזכירות הפדגוגית</w:t>
          </w:r>
        </w:p>
      </w:tc>
      <w:tc>
        <w:tcPr>
          <w:tcW w:w="3119" w:type="dxa"/>
        </w:tcPr>
        <w:p w:rsidR="00200479" w:rsidRDefault="00200479">
          <w:pPr>
            <w:contextualSpacing w:val="0"/>
            <w:jc w:val="right"/>
            <w:rPr>
              <w:sz w:val="26"/>
              <w:szCs w:val="26"/>
            </w:rPr>
          </w:pPr>
        </w:p>
        <w:p w:rsidR="00200479" w:rsidRDefault="00200479">
          <w:pPr>
            <w:contextualSpacing w:val="0"/>
            <w:jc w:val="right"/>
            <w:rPr>
              <w:sz w:val="26"/>
              <w:szCs w:val="26"/>
            </w:rPr>
          </w:pPr>
        </w:p>
        <w:p w:rsidR="00200479" w:rsidRDefault="00FD1AFB" w:rsidP="00FD1AFB">
          <w:pPr>
            <w:contextualSpacing w:val="0"/>
            <w:jc w:val="right"/>
            <w:rPr>
              <w:sz w:val="26"/>
              <w:szCs w:val="26"/>
            </w:rPr>
          </w:pPr>
          <w:r>
            <w:rPr>
              <w:rFonts w:cs="Times New Roman" w:hint="cs"/>
              <w:sz w:val="26"/>
              <w:szCs w:val="26"/>
              <w:rtl/>
            </w:rPr>
            <w:t>כ</w:t>
          </w:r>
          <w:r>
            <w:rPr>
              <w:rFonts w:hint="cs"/>
              <w:sz w:val="26"/>
              <w:szCs w:val="26"/>
              <w:rtl/>
            </w:rPr>
            <w:t>"</w:t>
          </w:r>
          <w:r>
            <w:rPr>
              <w:rFonts w:cs="Times New Roman" w:hint="cs"/>
              <w:sz w:val="26"/>
              <w:szCs w:val="26"/>
              <w:rtl/>
            </w:rPr>
            <w:t>ג</w:t>
          </w:r>
          <w:r w:rsidR="006C7106">
            <w:rPr>
              <w:rFonts w:cs="Times New Roman"/>
              <w:sz w:val="26"/>
              <w:szCs w:val="26"/>
              <w:rtl/>
            </w:rPr>
            <w:t xml:space="preserve"> באב תשע</w:t>
          </w:r>
          <w:r w:rsidR="006C7106">
            <w:rPr>
              <w:sz w:val="26"/>
              <w:szCs w:val="26"/>
              <w:rtl/>
            </w:rPr>
            <w:t>"</w:t>
          </w:r>
          <w:r>
            <w:rPr>
              <w:rFonts w:cs="Times New Roman" w:hint="cs"/>
              <w:sz w:val="26"/>
              <w:szCs w:val="26"/>
              <w:rtl/>
            </w:rPr>
            <w:t xml:space="preserve">ז  </w:t>
          </w:r>
          <w:r w:rsidR="006C7106">
            <w:rPr>
              <w:sz w:val="26"/>
              <w:szCs w:val="26"/>
              <w:rtl/>
            </w:rPr>
            <w:t xml:space="preserve"> ‏‏</w:t>
          </w:r>
          <w:r>
            <w:rPr>
              <w:rFonts w:hint="cs"/>
              <w:sz w:val="26"/>
              <w:szCs w:val="26"/>
              <w:rtl/>
            </w:rPr>
            <w:t xml:space="preserve">15/8/2017 </w:t>
          </w:r>
        </w:p>
      </w:tc>
    </w:tr>
    <w:tr w:rsidR="00200479">
      <w:tc>
        <w:tcPr>
          <w:tcW w:w="3402" w:type="dxa"/>
        </w:tcPr>
        <w:p w:rsidR="00200479" w:rsidRDefault="00200479">
          <w:pPr>
            <w:contextualSpacing w:val="0"/>
          </w:pPr>
        </w:p>
      </w:tc>
      <w:tc>
        <w:tcPr>
          <w:tcW w:w="3969" w:type="dxa"/>
        </w:tcPr>
        <w:p w:rsidR="00200479" w:rsidRDefault="00200479">
          <w:pPr>
            <w:tabs>
              <w:tab w:val="center" w:pos="4153"/>
              <w:tab w:val="right" w:pos="8306"/>
            </w:tabs>
            <w:contextualSpacing w:val="0"/>
          </w:pPr>
        </w:p>
      </w:tc>
      <w:tc>
        <w:tcPr>
          <w:tcW w:w="3119" w:type="dxa"/>
        </w:tcPr>
        <w:p w:rsidR="00200479" w:rsidRDefault="00200479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</w:tc>
    </w:tr>
  </w:tbl>
  <w:p w:rsidR="00200479" w:rsidRDefault="00200479">
    <w:pPr>
      <w:tabs>
        <w:tab w:val="center" w:pos="4153"/>
        <w:tab w:val="right" w:pos="8306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366"/>
    <w:multiLevelType w:val="multilevel"/>
    <w:tmpl w:val="336ABF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479"/>
    <w:rsid w:val="000B4415"/>
    <w:rsid w:val="00117063"/>
    <w:rsid w:val="00151589"/>
    <w:rsid w:val="001976B0"/>
    <w:rsid w:val="00200479"/>
    <w:rsid w:val="002B618A"/>
    <w:rsid w:val="00311C2A"/>
    <w:rsid w:val="00482AFC"/>
    <w:rsid w:val="005D4E70"/>
    <w:rsid w:val="005E5FE8"/>
    <w:rsid w:val="006C7106"/>
    <w:rsid w:val="00772D44"/>
    <w:rsid w:val="0087741C"/>
    <w:rsid w:val="00A04D86"/>
    <w:rsid w:val="00A203A5"/>
    <w:rsid w:val="00A62BE1"/>
    <w:rsid w:val="00B56018"/>
    <w:rsid w:val="00BD7585"/>
    <w:rsid w:val="00D50D98"/>
    <w:rsid w:val="00D569BF"/>
    <w:rsid w:val="00E46836"/>
    <w:rsid w:val="00EF219F"/>
    <w:rsid w:val="00F51097"/>
    <w:rsid w:val="00FD1AFB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A25AD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8"/>
  </w:style>
  <w:style w:type="paragraph" w:styleId="Footer">
    <w:name w:val="footer"/>
    <w:basedOn w:val="Normal"/>
    <w:link w:val="Foot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8"/>
  </w:style>
  <w:style w:type="table" w:styleId="TableGrid">
    <w:name w:val="Table Grid"/>
    <w:basedOn w:val="TableNormal"/>
    <w:uiPriority w:val="59"/>
    <w:rsid w:val="002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D67"/>
    <w:pPr>
      <w:bidi w:val="0"/>
      <w:ind w:left="720"/>
      <w:contextualSpacing/>
    </w:pPr>
  </w:style>
  <w:style w:type="paragraph" w:customStyle="1" w:styleId="1">
    <w:name w:val="פיסקת רשימה1"/>
    <w:basedOn w:val="Normal"/>
    <w:rsid w:val="00606D67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5AD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BA2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A25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A25AD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E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E9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77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A25AD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8"/>
  </w:style>
  <w:style w:type="paragraph" w:styleId="Footer">
    <w:name w:val="footer"/>
    <w:basedOn w:val="Normal"/>
    <w:link w:val="Foot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8"/>
  </w:style>
  <w:style w:type="table" w:styleId="TableGrid">
    <w:name w:val="Table Grid"/>
    <w:basedOn w:val="TableNormal"/>
    <w:uiPriority w:val="59"/>
    <w:rsid w:val="002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D67"/>
    <w:pPr>
      <w:bidi w:val="0"/>
      <w:ind w:left="720"/>
      <w:contextualSpacing/>
    </w:pPr>
  </w:style>
  <w:style w:type="paragraph" w:customStyle="1" w:styleId="1">
    <w:name w:val="פיסקת רשימה1"/>
    <w:basedOn w:val="Normal"/>
    <w:rsid w:val="00606D67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5AD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BA2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A25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A25AD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E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E9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77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Mazkirut_Pedagogit/Portal/HahmamaHapedagogit/HamamaPedagogit.htm" TargetMode="External"/><Relationship Id="rId13" Type="http://schemas.openxmlformats.org/officeDocument/2006/relationships/hyperlink" Target="http://meyda.education.gov.il/files/Mazkirut_Pedagogit/portal/drishotsaf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yda.education.gov.il/files/Mazkirut_Pedagogit/AgafPituachPedagogi/metukshavotdrishotpedagogiyot.docx" TargetMode="External"/><Relationship Id="rId17" Type="http://schemas.openxmlformats.org/officeDocument/2006/relationships/hyperlink" Target="http://meyda.education.gov.il/files/Mazkirut_Pedagogit/portal/drishotsa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yda.education.gov.il/files/Mazkirut_Pedagogit/portal/drishotsaf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FQRObeEhBt5nLtr-HT0RLyRrx4qtzo6VPWvAqP_x7M_JAMA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yda.education.gov.il/files/Mazkirut_Pedagogit/portal/drishotsaf.pdf" TargetMode="External"/><Relationship Id="rId10" Type="http://schemas.openxmlformats.org/officeDocument/2006/relationships/hyperlink" Target="http://cms.education.gov.il/EducationCMS/Units/Mazkirut_Pedagogit/Portal/HahmamaHapedagogit/HamamaPedagogi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s.education.gov.il/EducationCMS/Units/Mazkirut_Pedagogit/Portal/HahmamaHapedagogit/HamamaPedagogit.htm" TargetMode="External"/><Relationship Id="rId14" Type="http://schemas.openxmlformats.org/officeDocument/2006/relationships/hyperlink" Target="http://meyda.education.gov.il/files/Mazkirut_Pedagogit/portal/drishotsa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 Alon</dc:creator>
  <cp:lastModifiedBy>WICC</cp:lastModifiedBy>
  <cp:revision>2</cp:revision>
  <dcterms:created xsi:type="dcterms:W3CDTF">2017-09-07T12:03:00Z</dcterms:created>
  <dcterms:modified xsi:type="dcterms:W3CDTF">2017-09-07T12:03:00Z</dcterms:modified>
</cp:coreProperties>
</file>