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700A" w14:textId="5FF9C7EF" w:rsidR="00115381" w:rsidRPr="00115381" w:rsidRDefault="00115381" w:rsidP="00115381">
      <w:pPr>
        <w:pStyle w:val="Heading1"/>
        <w:bidi/>
      </w:pPr>
      <w:r w:rsidRPr="00115381">
        <w:rPr>
          <w:sz w:val="24"/>
          <w:szCs w:val="24"/>
        </w:rPr>
        <w:drawing>
          <wp:anchor distT="0" distB="0" distL="114300" distR="114300" simplePos="0" relativeHeight="251658240" behindDoc="1" locked="0" layoutInCell="1" allowOverlap="1" wp14:anchorId="12A6C7F3" wp14:editId="1B711BBB">
            <wp:simplePos x="0" y="0"/>
            <wp:positionH relativeFrom="column">
              <wp:posOffset>-266700</wp:posOffset>
            </wp:positionH>
            <wp:positionV relativeFrom="paragraph">
              <wp:posOffset>601980</wp:posOffset>
            </wp:positionV>
            <wp:extent cx="3048000" cy="2034540"/>
            <wp:effectExtent l="0" t="0" r="0" b="3810"/>
            <wp:wrapTight wrapText="bothSides">
              <wp:wrapPolygon edited="0">
                <wp:start x="0" y="0"/>
                <wp:lineTo x="0" y="21438"/>
                <wp:lineTo x="21465" y="21438"/>
                <wp:lineTo x="21465" y="0"/>
                <wp:lineTo x="0" y="0"/>
              </wp:wrapPolygon>
            </wp:wrapTight>
            <wp:docPr id="74362380" name="Picture 16" descr="כלכלת מימן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כלכלת מימן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anchor>
        </w:drawing>
      </w:r>
      <w:r w:rsidRPr="00115381">
        <w:rPr>
          <w:rtl/>
        </w:rPr>
        <w:t>כלכלת מימן</w:t>
      </w:r>
    </w:p>
    <w:p w14:paraId="1F19F6AB" w14:textId="71886762" w:rsidR="00115381" w:rsidRPr="00115381" w:rsidRDefault="00115381" w:rsidP="00115381">
      <w:pPr>
        <w:bidi/>
        <w:rPr>
          <w:sz w:val="24"/>
          <w:szCs w:val="24"/>
        </w:rPr>
      </w:pPr>
      <w:r w:rsidRPr="00115381">
        <w:rPr>
          <w:sz w:val="24"/>
          <w:szCs w:val="24"/>
          <w:rtl/>
        </w:rPr>
        <w:t>בארץ אין רכבים המונעים בתאי דלק, קיימת כיום רק צוללת של חיל הים בה מקור האנרגיה היא תאי מימן. </w:t>
      </w:r>
      <w:hyperlink r:id="rId7" w:history="1">
        <w:r w:rsidRPr="00115381">
          <w:rPr>
            <w:rStyle w:val="Hyperlink"/>
            <w:sz w:val="24"/>
            <w:szCs w:val="24"/>
            <w:rtl/>
          </w:rPr>
          <w:t>פרסום של המכון הישראלי לאנרגיה ולסביבה</w:t>
        </w:r>
      </w:hyperlink>
      <w:r w:rsidRPr="00115381">
        <w:rPr>
          <w:sz w:val="24"/>
          <w:szCs w:val="24"/>
          <w:rtl/>
        </w:rPr>
        <w:t> מיוני 2018, מדווח על שימוש במימן כמקור אנרגיה מתכלה בעולם. בארץ אין עדיין מדיניות כתובה בנושא, אבל קיים צפי לעדכונים בנושא. בעיקרי </w:t>
      </w:r>
      <w:hyperlink r:id="rId8" w:history="1">
        <w:r w:rsidRPr="00115381">
          <w:rPr>
            <w:rStyle w:val="Hyperlink"/>
            <w:sz w:val="24"/>
            <w:szCs w:val="24"/>
            <w:rtl/>
          </w:rPr>
          <w:t>התקציב של משרד האנרגיה לשנת 2019</w:t>
        </w:r>
      </w:hyperlink>
      <w:r w:rsidRPr="00115381">
        <w:rPr>
          <w:sz w:val="24"/>
          <w:szCs w:val="24"/>
          <w:rtl/>
        </w:rPr>
        <w:t>, אין התייחסות למימן כמקור אנרגיה. חברת החשמל מפרסמת מידע בנושא, אבל ההתייחסות היא רק לשימוש עתידי:</w:t>
      </w:r>
    </w:p>
    <w:p w14:paraId="4218B917" w14:textId="77777777" w:rsidR="00115381" w:rsidRPr="00115381" w:rsidRDefault="00115381" w:rsidP="00115381">
      <w:pPr>
        <w:bidi/>
        <w:rPr>
          <w:sz w:val="24"/>
          <w:szCs w:val="24"/>
          <w:rtl/>
        </w:rPr>
      </w:pPr>
      <w:r w:rsidRPr="00115381">
        <w:rPr>
          <w:sz w:val="24"/>
          <w:szCs w:val="24"/>
          <w:rtl/>
        </w:rPr>
        <w:t>"קיים קושי רב להפוך את תאי הדלק למוצר מסחרי. המכשול העיקרי הוא המחיר̈ בייחוד שתאי הדלק מכילים רכיבים יקרים̈ כגון זרזים ממתכות אצילות.</w:t>
      </w:r>
      <w:r w:rsidRPr="00115381">
        <w:rPr>
          <w:sz w:val="24"/>
          <w:szCs w:val="24"/>
        </w:rPr>
        <w:t> </w:t>
      </w:r>
      <w:r w:rsidRPr="00115381">
        <w:rPr>
          <w:sz w:val="24"/>
          <w:szCs w:val="24"/>
          <w:rtl/>
        </w:rPr>
        <w:t>לטכנולוגיה של תאי דלק יש פוטנציאל גבוה̈ וניתן לשער שהם יהוו בעתיד תוספת למערכות החשמל הקונבנציונליות̈ בבנייני מגורים̈ בבתי חולים̈ בבתי אבות̈ בדיור ציבורי וכדומה̈ תוך ניצול חום ומים שיוריים לשימושים השונים".</w:t>
      </w:r>
    </w:p>
    <w:p w14:paraId="49817F52" w14:textId="77777777" w:rsidR="00115381" w:rsidRPr="00115381" w:rsidRDefault="00115381" w:rsidP="00115381">
      <w:pPr>
        <w:bidi/>
        <w:rPr>
          <w:sz w:val="24"/>
          <w:szCs w:val="24"/>
          <w:rtl/>
        </w:rPr>
      </w:pPr>
      <w:r w:rsidRPr="00115381">
        <w:rPr>
          <w:sz w:val="24"/>
          <w:szCs w:val="24"/>
          <w:rtl/>
        </w:rPr>
        <w:t>אבל, פרופ' ליאור אלבז, חוקר מוביל בתחום "כלכלת מימן", קובע כי העתיד שייך למימן כמקור אנרגיה. הוא מוביל קבוצות מחקר במוסדות אקדמאיים בארץ הנמצאים בקשרים עם מוסדות אקדמאיים מובילים בעולם. הם חוקרים בנושא במטרה להוזיל עלויות ולאפשר שימוש נרחב לשימוש המימן כמקור אנרגיה, לדוגמה ברכבי מימן. העלות הגבוהה בתאי הדלק היא של פלטינה כזרז. לכן בוחנים מתכות אחרות זולות (כמו ברזל) כזרז, זרזים ביולוגיים ועוד.</w:t>
      </w:r>
    </w:p>
    <w:p w14:paraId="42528FDE" w14:textId="72825F16" w:rsidR="00115381" w:rsidRPr="00115381" w:rsidRDefault="00115381" w:rsidP="007F0EC4">
      <w:pPr>
        <w:bidi/>
        <w:rPr>
          <w:sz w:val="24"/>
          <w:szCs w:val="24"/>
          <w:rtl/>
        </w:rPr>
      </w:pPr>
      <w:r w:rsidRPr="00115381">
        <w:rPr>
          <w:sz w:val="24"/>
          <w:szCs w:val="24"/>
          <w:rtl/>
        </w:rPr>
        <w:t>בארץ חברות דלק גדולות רוצות להיכנס לתחום המימן ומתעניינות בנושא: סונול, דלק, דור אלון. </w:t>
      </w:r>
    </w:p>
    <w:p w14:paraId="7465FC81" w14:textId="77777777" w:rsidR="00115381" w:rsidRPr="00115381" w:rsidRDefault="00115381" w:rsidP="00115381">
      <w:pPr>
        <w:bidi/>
        <w:rPr>
          <w:sz w:val="24"/>
          <w:szCs w:val="24"/>
          <w:rtl/>
        </w:rPr>
      </w:pPr>
      <w:r w:rsidRPr="00115381">
        <w:rPr>
          <w:sz w:val="24"/>
          <w:szCs w:val="24"/>
          <w:rtl/>
        </w:rPr>
        <w:t>בעולם יש מדינות כתובה בנושא בחלק מהמדינות המפותחות. יצרניות הרכב הגדולות מייצרות ומתכננות רכבים המונעים במימן. מכוניות בהן מקור האנרגיה הוא תאי מימן, נעות ברחבי העולם. בגרמניה יש מכוניות רבות ויש פיזור של מכלי מימן בעזרתם ניתן להטעין את הרכבים. בגרמניה יש גם רכבת המונעת בתאי דלק.</w:t>
      </w:r>
    </w:p>
    <w:p w14:paraId="0794DE4C" w14:textId="539411F9" w:rsidR="00115381" w:rsidRPr="00115381" w:rsidRDefault="00115381" w:rsidP="00115381">
      <w:pPr>
        <w:bidi/>
        <w:rPr>
          <w:sz w:val="24"/>
          <w:szCs w:val="24"/>
          <w:rtl/>
        </w:rPr>
      </w:pPr>
      <w:r w:rsidRPr="00115381">
        <w:rPr>
          <w:sz w:val="24"/>
          <w:szCs w:val="24"/>
          <w:rtl/>
        </w:rPr>
        <w:t>בטבלה </w:t>
      </w:r>
      <w:r w:rsidRPr="007F0EC4">
        <w:rPr>
          <w:sz w:val="24"/>
          <w:szCs w:val="24"/>
          <w:rtl/>
        </w:rPr>
        <w:t>נתונים עדכניים</w:t>
      </w:r>
      <w:r w:rsidR="007F0EC4" w:rsidRPr="00115381">
        <w:rPr>
          <w:sz w:val="24"/>
          <w:szCs w:val="24"/>
          <w:rtl/>
        </w:rPr>
        <w:t xml:space="preserve"> לסוף 2018</w:t>
      </w:r>
      <w:r w:rsidR="007F0EC4">
        <w:rPr>
          <w:rFonts w:hint="cs"/>
          <w:sz w:val="24"/>
          <w:szCs w:val="24"/>
          <w:rtl/>
        </w:rPr>
        <w:t xml:space="preserve"> </w:t>
      </w:r>
      <w:r w:rsidRPr="00115381">
        <w:rPr>
          <w:sz w:val="24"/>
          <w:szCs w:val="24"/>
          <w:rtl/>
        </w:rPr>
        <w:t>של מספר רכבי מימן הנעים בעולם,:</w:t>
      </w:r>
    </w:p>
    <w:tbl>
      <w:tblPr>
        <w:bidiVisual/>
        <w:tblW w:w="82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3405"/>
        <w:gridCol w:w="1695"/>
        <w:gridCol w:w="1560"/>
      </w:tblGrid>
      <w:tr w:rsidR="00115381" w:rsidRPr="00115381" w14:paraId="750DA4DF" w14:textId="77777777">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7520BFC8" w14:textId="77777777" w:rsidR="00115381" w:rsidRPr="00115381" w:rsidRDefault="00115381" w:rsidP="00115381">
            <w:pPr>
              <w:bidi/>
              <w:rPr>
                <w:sz w:val="24"/>
                <w:szCs w:val="24"/>
                <w:rtl/>
              </w:rPr>
            </w:pPr>
            <w:r w:rsidRPr="00115381">
              <w:rPr>
                <w:sz w:val="24"/>
                <w:szCs w:val="24"/>
                <w:rtl/>
              </w:rPr>
              <w:t>יבשת</w:t>
            </w:r>
          </w:p>
        </w:tc>
        <w:tc>
          <w:tcPr>
            <w:tcW w:w="3405" w:type="dxa"/>
            <w:tcBorders>
              <w:top w:val="outset" w:sz="6" w:space="0" w:color="auto"/>
              <w:left w:val="outset" w:sz="6" w:space="0" w:color="auto"/>
              <w:bottom w:val="outset" w:sz="6" w:space="0" w:color="auto"/>
              <w:right w:val="outset" w:sz="6" w:space="0" w:color="auto"/>
            </w:tcBorders>
            <w:vAlign w:val="center"/>
            <w:hideMark/>
          </w:tcPr>
          <w:p w14:paraId="046A4203" w14:textId="77777777" w:rsidR="00115381" w:rsidRPr="00115381" w:rsidRDefault="00115381" w:rsidP="00115381">
            <w:pPr>
              <w:bidi/>
              <w:rPr>
                <w:sz w:val="24"/>
                <w:szCs w:val="24"/>
                <w:rtl/>
              </w:rPr>
            </w:pPr>
            <w:r w:rsidRPr="00115381">
              <w:rPr>
                <w:sz w:val="24"/>
                <w:szCs w:val="24"/>
                <w:rtl/>
              </w:rPr>
              <w:t>מדינות בהן מרבית הרכבים</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B73255C" w14:textId="77777777" w:rsidR="00115381" w:rsidRPr="00115381" w:rsidRDefault="00115381" w:rsidP="00115381">
            <w:pPr>
              <w:bidi/>
              <w:rPr>
                <w:sz w:val="24"/>
                <w:szCs w:val="24"/>
                <w:rtl/>
              </w:rPr>
            </w:pPr>
            <w:r w:rsidRPr="00115381">
              <w:rPr>
                <w:sz w:val="24"/>
                <w:szCs w:val="24"/>
                <w:rtl/>
              </w:rPr>
              <w:t>מספר הרכבים</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B6D2413" w14:textId="77777777" w:rsidR="00115381" w:rsidRPr="00115381" w:rsidRDefault="00115381" w:rsidP="00115381">
            <w:pPr>
              <w:bidi/>
              <w:rPr>
                <w:sz w:val="24"/>
                <w:szCs w:val="24"/>
                <w:rtl/>
              </w:rPr>
            </w:pPr>
            <w:r w:rsidRPr="00115381">
              <w:rPr>
                <w:sz w:val="24"/>
                <w:szCs w:val="24"/>
                <w:rtl/>
              </w:rPr>
              <w:t>אחוז הרכבים</w:t>
            </w:r>
          </w:p>
        </w:tc>
      </w:tr>
      <w:tr w:rsidR="00115381" w:rsidRPr="00115381" w14:paraId="5E3EF999" w14:textId="77777777">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77AF327" w14:textId="77777777" w:rsidR="00115381" w:rsidRPr="00115381" w:rsidRDefault="00115381" w:rsidP="00115381">
            <w:pPr>
              <w:bidi/>
              <w:rPr>
                <w:sz w:val="24"/>
                <w:szCs w:val="24"/>
                <w:rtl/>
              </w:rPr>
            </w:pPr>
            <w:r w:rsidRPr="00115381">
              <w:rPr>
                <w:sz w:val="24"/>
                <w:szCs w:val="24"/>
                <w:rtl/>
              </w:rPr>
              <w:t>צפון אירופה</w:t>
            </w:r>
          </w:p>
        </w:tc>
        <w:tc>
          <w:tcPr>
            <w:tcW w:w="3405" w:type="dxa"/>
            <w:tcBorders>
              <w:top w:val="outset" w:sz="6" w:space="0" w:color="auto"/>
              <w:left w:val="outset" w:sz="6" w:space="0" w:color="auto"/>
              <w:bottom w:val="outset" w:sz="6" w:space="0" w:color="auto"/>
              <w:right w:val="outset" w:sz="6" w:space="0" w:color="auto"/>
            </w:tcBorders>
            <w:vAlign w:val="center"/>
            <w:hideMark/>
          </w:tcPr>
          <w:p w14:paraId="32CEE7A0" w14:textId="77777777" w:rsidR="00115381" w:rsidRPr="00115381" w:rsidRDefault="00115381" w:rsidP="00115381">
            <w:pPr>
              <w:bidi/>
              <w:rPr>
                <w:sz w:val="24"/>
                <w:szCs w:val="24"/>
                <w:rtl/>
              </w:rPr>
            </w:pPr>
            <w:r w:rsidRPr="00115381">
              <w:rPr>
                <w:sz w:val="24"/>
                <w:szCs w:val="24"/>
                <w:rtl/>
              </w:rPr>
              <w:t>בעיקר ארה"ב</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698B167" w14:textId="77777777" w:rsidR="00115381" w:rsidRPr="00115381" w:rsidRDefault="00115381" w:rsidP="00115381">
            <w:pPr>
              <w:bidi/>
              <w:rPr>
                <w:sz w:val="24"/>
                <w:szCs w:val="24"/>
                <w:rtl/>
              </w:rPr>
            </w:pPr>
            <w:r w:rsidRPr="00115381">
              <w:rPr>
                <w:sz w:val="24"/>
                <w:szCs w:val="24"/>
                <w:rtl/>
              </w:rPr>
              <w:t>5,917</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DA92CF" w14:textId="77777777" w:rsidR="00115381" w:rsidRPr="00115381" w:rsidRDefault="00115381" w:rsidP="00115381">
            <w:pPr>
              <w:bidi/>
              <w:rPr>
                <w:sz w:val="24"/>
                <w:szCs w:val="24"/>
                <w:rtl/>
              </w:rPr>
            </w:pPr>
            <w:r w:rsidRPr="00115381">
              <w:rPr>
                <w:sz w:val="24"/>
                <w:szCs w:val="24"/>
                <w:rtl/>
              </w:rPr>
              <w:t>46%</w:t>
            </w:r>
          </w:p>
        </w:tc>
      </w:tr>
      <w:tr w:rsidR="00115381" w:rsidRPr="00115381" w14:paraId="3FD0CD96" w14:textId="77777777">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30FA39BA" w14:textId="77777777" w:rsidR="00115381" w:rsidRPr="00115381" w:rsidRDefault="00115381" w:rsidP="00115381">
            <w:pPr>
              <w:bidi/>
              <w:rPr>
                <w:sz w:val="24"/>
                <w:szCs w:val="24"/>
                <w:rtl/>
              </w:rPr>
            </w:pPr>
            <w:r w:rsidRPr="00115381">
              <w:rPr>
                <w:sz w:val="24"/>
                <w:szCs w:val="24"/>
                <w:rtl/>
              </w:rPr>
              <w:t>אסיה</w:t>
            </w:r>
          </w:p>
        </w:tc>
        <w:tc>
          <w:tcPr>
            <w:tcW w:w="3405" w:type="dxa"/>
            <w:tcBorders>
              <w:top w:val="outset" w:sz="6" w:space="0" w:color="auto"/>
              <w:left w:val="outset" w:sz="6" w:space="0" w:color="auto"/>
              <w:bottom w:val="outset" w:sz="6" w:space="0" w:color="auto"/>
              <w:right w:val="outset" w:sz="6" w:space="0" w:color="auto"/>
            </w:tcBorders>
            <w:vAlign w:val="center"/>
            <w:hideMark/>
          </w:tcPr>
          <w:p w14:paraId="0A855191" w14:textId="77777777" w:rsidR="00115381" w:rsidRPr="00115381" w:rsidRDefault="00115381" w:rsidP="00115381">
            <w:pPr>
              <w:bidi/>
              <w:rPr>
                <w:sz w:val="24"/>
                <w:szCs w:val="24"/>
                <w:rtl/>
              </w:rPr>
            </w:pPr>
            <w:r w:rsidRPr="00115381">
              <w:rPr>
                <w:sz w:val="24"/>
                <w:szCs w:val="24"/>
                <w:rtl/>
              </w:rPr>
              <w:t>יפן, סין וקוריאה</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796D59C" w14:textId="77777777" w:rsidR="00115381" w:rsidRPr="00115381" w:rsidRDefault="00115381" w:rsidP="00115381">
            <w:pPr>
              <w:bidi/>
              <w:rPr>
                <w:sz w:val="24"/>
                <w:szCs w:val="24"/>
                <w:rtl/>
              </w:rPr>
            </w:pPr>
            <w:r w:rsidRPr="00115381">
              <w:rPr>
                <w:sz w:val="24"/>
                <w:szCs w:val="24"/>
                <w:rtl/>
              </w:rPr>
              <w:t>5,617</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08D8269" w14:textId="77777777" w:rsidR="00115381" w:rsidRPr="00115381" w:rsidRDefault="00115381" w:rsidP="00115381">
            <w:pPr>
              <w:bidi/>
              <w:rPr>
                <w:sz w:val="24"/>
                <w:szCs w:val="24"/>
                <w:rtl/>
              </w:rPr>
            </w:pPr>
            <w:r w:rsidRPr="00115381">
              <w:rPr>
                <w:sz w:val="24"/>
                <w:szCs w:val="24"/>
                <w:rtl/>
              </w:rPr>
              <w:t>43%</w:t>
            </w:r>
          </w:p>
        </w:tc>
      </w:tr>
      <w:tr w:rsidR="00115381" w:rsidRPr="00115381" w14:paraId="16E9344C" w14:textId="77777777">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86BCC5B" w14:textId="77777777" w:rsidR="00115381" w:rsidRPr="00115381" w:rsidRDefault="00115381" w:rsidP="00115381">
            <w:pPr>
              <w:bidi/>
              <w:rPr>
                <w:sz w:val="24"/>
                <w:szCs w:val="24"/>
                <w:rtl/>
              </w:rPr>
            </w:pPr>
            <w:r w:rsidRPr="00115381">
              <w:rPr>
                <w:sz w:val="24"/>
                <w:szCs w:val="24"/>
                <w:rtl/>
              </w:rPr>
              <w:t>אירופה</w:t>
            </w:r>
          </w:p>
        </w:tc>
        <w:tc>
          <w:tcPr>
            <w:tcW w:w="3405" w:type="dxa"/>
            <w:tcBorders>
              <w:top w:val="outset" w:sz="6" w:space="0" w:color="auto"/>
              <w:left w:val="outset" w:sz="6" w:space="0" w:color="auto"/>
              <w:bottom w:val="outset" w:sz="6" w:space="0" w:color="auto"/>
              <w:right w:val="outset" w:sz="6" w:space="0" w:color="auto"/>
            </w:tcBorders>
            <w:vAlign w:val="center"/>
            <w:hideMark/>
          </w:tcPr>
          <w:p w14:paraId="6A8BA93B" w14:textId="77777777" w:rsidR="00115381" w:rsidRPr="00115381" w:rsidRDefault="00115381" w:rsidP="00115381">
            <w:pPr>
              <w:bidi/>
              <w:rPr>
                <w:sz w:val="24"/>
                <w:szCs w:val="24"/>
                <w:rtl/>
              </w:rPr>
            </w:pPr>
            <w:r w:rsidRPr="00115381">
              <w:rPr>
                <w:sz w:val="24"/>
                <w:szCs w:val="24"/>
                <w:rtl/>
              </w:rPr>
              <w:t>בעיקר גרמניה, צרפת ונורבגיה</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AE82509" w14:textId="77777777" w:rsidR="00115381" w:rsidRPr="00115381" w:rsidRDefault="00115381" w:rsidP="00115381">
            <w:pPr>
              <w:bidi/>
              <w:rPr>
                <w:sz w:val="24"/>
                <w:szCs w:val="24"/>
                <w:rtl/>
              </w:rPr>
            </w:pPr>
            <w:r w:rsidRPr="00115381">
              <w:rPr>
                <w:sz w:val="24"/>
                <w:szCs w:val="24"/>
                <w:rtl/>
              </w:rPr>
              <w:t>1,418</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E193A1" w14:textId="77777777" w:rsidR="00115381" w:rsidRPr="00115381" w:rsidRDefault="00115381" w:rsidP="00115381">
            <w:pPr>
              <w:bidi/>
              <w:rPr>
                <w:sz w:val="24"/>
                <w:szCs w:val="24"/>
                <w:rtl/>
              </w:rPr>
            </w:pPr>
            <w:r w:rsidRPr="00115381">
              <w:rPr>
                <w:sz w:val="24"/>
                <w:szCs w:val="24"/>
                <w:rtl/>
              </w:rPr>
              <w:t>11%</w:t>
            </w:r>
          </w:p>
        </w:tc>
      </w:tr>
    </w:tbl>
    <w:p w14:paraId="40300FD4" w14:textId="0E86C2D6" w:rsidR="00115381" w:rsidRDefault="00115381" w:rsidP="007F0EC4">
      <w:pPr>
        <w:bidi/>
        <w:rPr>
          <w:sz w:val="24"/>
          <w:szCs w:val="24"/>
          <w:rtl/>
        </w:rPr>
      </w:pPr>
      <w:r w:rsidRPr="00115381">
        <w:rPr>
          <w:sz w:val="24"/>
          <w:szCs w:val="24"/>
          <w:rtl/>
        </w:rPr>
        <w:t> </w:t>
      </w:r>
    </w:p>
    <w:p w14:paraId="06D97862" w14:textId="2BF36CBD" w:rsidR="00115381" w:rsidRDefault="00115381" w:rsidP="00115381">
      <w:pPr>
        <w:bidi/>
        <w:rPr>
          <w:sz w:val="24"/>
          <w:szCs w:val="24"/>
          <w:rtl/>
        </w:rPr>
      </w:pPr>
      <w:r w:rsidRPr="00115381">
        <w:rPr>
          <w:sz w:val="24"/>
          <w:szCs w:val="24"/>
          <w:rtl/>
        </w:rPr>
        <w:t>בעולם נעים 12,900 רכבים המונעים במימן. מרבית הרכבים הם רכבים להסעת נוסעים ורק בסין מרבית הרכבים הם רכבים מסחריים.</w:t>
      </w:r>
    </w:p>
    <w:p w14:paraId="4196A4EA" w14:textId="77777777" w:rsidR="007F0EC4" w:rsidRPr="00115381" w:rsidRDefault="007F0EC4" w:rsidP="007F0EC4">
      <w:pPr>
        <w:bidi/>
        <w:rPr>
          <w:sz w:val="24"/>
          <w:szCs w:val="24"/>
          <w:rtl/>
        </w:rPr>
      </w:pPr>
    </w:p>
    <w:p w14:paraId="5FEBF395" w14:textId="77777777" w:rsidR="00115381" w:rsidRPr="00115381" w:rsidRDefault="00115381" w:rsidP="00115381">
      <w:pPr>
        <w:bidi/>
        <w:rPr>
          <w:sz w:val="24"/>
          <w:szCs w:val="24"/>
          <w:rtl/>
        </w:rPr>
      </w:pPr>
      <w:r w:rsidRPr="00115381">
        <w:rPr>
          <w:sz w:val="24"/>
          <w:szCs w:val="24"/>
          <w:rtl/>
        </w:rPr>
        <w:lastRenderedPageBreak/>
        <w:t>להלן נתונים עבור שני רכבים המונעים במימן כמקור אנרגיה:</w:t>
      </w:r>
    </w:p>
    <w:p w14:paraId="79EC8CDE" w14:textId="77777777" w:rsidR="00115381" w:rsidRPr="00115381" w:rsidRDefault="00115381" w:rsidP="00115381">
      <w:pPr>
        <w:numPr>
          <w:ilvl w:val="0"/>
          <w:numId w:val="35"/>
        </w:numPr>
        <w:bidi/>
        <w:rPr>
          <w:sz w:val="24"/>
          <w:szCs w:val="24"/>
          <w:rtl/>
        </w:rPr>
      </w:pPr>
      <w:r w:rsidRPr="00115381">
        <w:rPr>
          <w:sz w:val="24"/>
          <w:szCs w:val="24"/>
          <w:rtl/>
        </w:rPr>
        <w:t>בטויוטה מיראיי, </w:t>
      </w:r>
      <w:r w:rsidRPr="00115381">
        <w:rPr>
          <w:sz w:val="24"/>
          <w:szCs w:val="24"/>
        </w:rPr>
        <w:t>Toyota Mirai</w:t>
      </w:r>
      <w:r w:rsidRPr="00115381">
        <w:rPr>
          <w:sz w:val="24"/>
          <w:szCs w:val="24"/>
          <w:rtl/>
        </w:rPr>
        <w:t>, שני מכלים המכילים מימן בלחץ . טווח הנסיעה של הרכב הוא 500 ק"מ ללא טעינה.</w:t>
      </w:r>
    </w:p>
    <w:p w14:paraId="02E51684" w14:textId="77777777" w:rsidR="00115381" w:rsidRPr="00115381" w:rsidRDefault="00115381" w:rsidP="00115381">
      <w:pPr>
        <w:numPr>
          <w:ilvl w:val="0"/>
          <w:numId w:val="35"/>
        </w:numPr>
        <w:bidi/>
        <w:rPr>
          <w:sz w:val="24"/>
          <w:szCs w:val="24"/>
          <w:rtl/>
        </w:rPr>
      </w:pPr>
      <w:r w:rsidRPr="00115381">
        <w:rPr>
          <w:sz w:val="24"/>
          <w:szCs w:val="24"/>
          <w:rtl/>
        </w:rPr>
        <w:t>הרכב </w:t>
      </w:r>
      <w:r w:rsidRPr="00115381">
        <w:rPr>
          <w:sz w:val="24"/>
          <w:szCs w:val="24"/>
        </w:rPr>
        <w:t>Daimler GLC F-CELL</w:t>
      </w:r>
      <w:r w:rsidRPr="00115381">
        <w:rPr>
          <w:sz w:val="24"/>
          <w:szCs w:val="24"/>
          <w:rtl/>
        </w:rPr>
        <w:t> הוא רכב היברידי המכיל תאי דלק ומצבר ליתיום יון. הרכב יכול להכיל 4.4 ק"ג מימן וטווח הנסיעה שלו הוא 430 ק"מ.</w:t>
      </w:r>
    </w:p>
    <w:p w14:paraId="299D6ECA" w14:textId="77777777" w:rsidR="00115381" w:rsidRPr="00115381" w:rsidRDefault="00115381" w:rsidP="00115381">
      <w:pPr>
        <w:bidi/>
        <w:rPr>
          <w:sz w:val="24"/>
          <w:szCs w:val="24"/>
          <w:rtl/>
        </w:rPr>
      </w:pPr>
      <w:r w:rsidRPr="00115381">
        <w:rPr>
          <w:sz w:val="24"/>
          <w:szCs w:val="24"/>
          <w:rtl/>
        </w:rPr>
        <w:t>בעולם מפתחים תשתיות לרכבי מימן: ביפן 100 עמדות טעינה, בגרמניה 69, בארה"ב 63 ושאר עמדות הטעינה (376 סה"כ) מפוזרות בארצות שונות.</w:t>
      </w:r>
    </w:p>
    <w:p w14:paraId="17B01501" w14:textId="77777777" w:rsidR="00115381" w:rsidRPr="00115381" w:rsidRDefault="00115381" w:rsidP="00115381">
      <w:pPr>
        <w:bidi/>
        <w:rPr>
          <w:sz w:val="24"/>
          <w:szCs w:val="24"/>
          <w:rtl/>
        </w:rPr>
      </w:pPr>
      <w:r w:rsidRPr="00115381">
        <w:rPr>
          <w:sz w:val="24"/>
          <w:szCs w:val="24"/>
          <w:rtl/>
        </w:rPr>
        <w:t>לדברי פרופ' ליאור אלבז, תשתיות של מכוניות המונעות במימן זולות יותר מתשתיות של מכוניות חשמליות.</w:t>
      </w:r>
    </w:p>
    <w:p w14:paraId="592274C5" w14:textId="77777777" w:rsidR="00115381" w:rsidRPr="00115381" w:rsidRDefault="00115381" w:rsidP="00115381">
      <w:pPr>
        <w:bidi/>
        <w:rPr>
          <w:sz w:val="24"/>
          <w:szCs w:val="24"/>
          <w:rtl/>
        </w:rPr>
      </w:pPr>
      <w:r w:rsidRPr="00115381">
        <w:rPr>
          <w:sz w:val="24"/>
          <w:szCs w:val="24"/>
          <w:rtl/>
        </w:rPr>
        <w:t> </w:t>
      </w:r>
    </w:p>
    <w:p w14:paraId="19E68641" w14:textId="77777777" w:rsidR="00115381" w:rsidRPr="00115381" w:rsidRDefault="00115381" w:rsidP="00115381">
      <w:pPr>
        <w:bidi/>
        <w:rPr>
          <w:sz w:val="24"/>
          <w:szCs w:val="24"/>
          <w:rtl/>
        </w:rPr>
      </w:pPr>
      <w:r w:rsidRPr="00115381">
        <w:rPr>
          <w:b/>
          <w:bCs/>
          <w:sz w:val="24"/>
          <w:szCs w:val="24"/>
          <w:rtl/>
        </w:rPr>
        <w:t>מה הקשר בין הצונאמי ביפן לאולימפיאדת 2020?</w:t>
      </w:r>
    </w:p>
    <w:p w14:paraId="3BB9398A" w14:textId="77777777" w:rsidR="00115381" w:rsidRPr="00115381" w:rsidRDefault="00115381" w:rsidP="00115381">
      <w:pPr>
        <w:bidi/>
        <w:rPr>
          <w:sz w:val="24"/>
          <w:szCs w:val="24"/>
          <w:rtl/>
        </w:rPr>
      </w:pPr>
      <w:r w:rsidRPr="00115381">
        <w:rPr>
          <w:sz w:val="24"/>
          <w:szCs w:val="24"/>
          <w:rtl/>
        </w:rPr>
        <w:t>תאריך ה- 11.3.2011 הוא תאריך שייכרת בזיכרונם של תושבי יפן ותושבי העולם לעד: בתאריך זה פגעו גלי צונאמי אדירים באיים המרכיבים את מדינת יפן. אחת מהתוצאות ההרסניות של הצונאמי היה נזק קשה למקור האנרגיה העיקרי לייצור חשמל ביפן - הכורים הגרעיניים.</w:t>
      </w:r>
    </w:p>
    <w:p w14:paraId="4BE13960" w14:textId="77777777" w:rsidR="00115381" w:rsidRPr="00115381" w:rsidRDefault="00115381" w:rsidP="00115381">
      <w:pPr>
        <w:bidi/>
        <w:rPr>
          <w:sz w:val="24"/>
          <w:szCs w:val="24"/>
          <w:rtl/>
        </w:rPr>
      </w:pPr>
      <w:r w:rsidRPr="00115381">
        <w:rPr>
          <w:sz w:val="24"/>
          <w:szCs w:val="24"/>
          <w:rtl/>
        </w:rPr>
        <w:t>בצילום מוצג איור המתאר את הפגיעה בכור הגרעיני ביוקושימה:</w:t>
      </w:r>
    </w:p>
    <w:p w14:paraId="1A62F457" w14:textId="45E184EC" w:rsidR="00115381" w:rsidRPr="00115381" w:rsidRDefault="00115381" w:rsidP="00115381">
      <w:pPr>
        <w:bidi/>
        <w:rPr>
          <w:sz w:val="24"/>
          <w:szCs w:val="24"/>
          <w:rtl/>
        </w:rPr>
      </w:pPr>
      <w:r w:rsidRPr="00115381">
        <w:rPr>
          <w:sz w:val="24"/>
          <w:szCs w:val="24"/>
        </w:rPr>
        <w:drawing>
          <wp:inline distT="0" distB="0" distL="0" distR="0" wp14:anchorId="23517B30" wp14:editId="5122FA19">
            <wp:extent cx="3078480" cy="2819400"/>
            <wp:effectExtent l="0" t="0" r="7620" b="0"/>
            <wp:docPr id="1397101936" name="Picture 15" descr="mayma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mayman5.jpg" descr="mayman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8480" cy="2819400"/>
                    </a:xfrm>
                    <a:prstGeom prst="rect">
                      <a:avLst/>
                    </a:prstGeom>
                    <a:noFill/>
                    <a:ln>
                      <a:noFill/>
                    </a:ln>
                  </pic:spPr>
                </pic:pic>
              </a:graphicData>
            </a:graphic>
          </wp:inline>
        </w:drawing>
      </w:r>
    </w:p>
    <w:p w14:paraId="614466A0" w14:textId="77777777" w:rsidR="00115381" w:rsidRPr="00115381" w:rsidRDefault="00115381" w:rsidP="00115381">
      <w:pPr>
        <w:bidi/>
        <w:rPr>
          <w:sz w:val="24"/>
          <w:szCs w:val="24"/>
        </w:rPr>
      </w:pPr>
      <w:r w:rsidRPr="00115381">
        <w:rPr>
          <w:sz w:val="24"/>
          <w:szCs w:val="24"/>
          <w:rtl/>
        </w:rPr>
        <w:t>לאחר הצונאמי היפנים ייבאו גז טבעי מונזל כמקור אנרגיה. אבל כמקביל גובשה מדיניות לשימוש במקור אנרגיה בטוח יותר (מכורים גרעיניים) וזול יותר (מגז טבעי מונזל), כמקור אנרגיה חלופי.</w:t>
      </w:r>
    </w:p>
    <w:p w14:paraId="1821EABC" w14:textId="77777777" w:rsidR="00115381" w:rsidRPr="00115381" w:rsidRDefault="00115381" w:rsidP="00115381">
      <w:pPr>
        <w:bidi/>
        <w:rPr>
          <w:sz w:val="24"/>
          <w:szCs w:val="24"/>
          <w:rtl/>
        </w:rPr>
      </w:pPr>
      <w:r w:rsidRPr="00115381">
        <w:rPr>
          <w:sz w:val="24"/>
          <w:szCs w:val="24"/>
          <w:rtl/>
        </w:rPr>
        <w:t>תאי דלק, </w:t>
      </w:r>
      <w:r w:rsidRPr="00115381">
        <w:rPr>
          <w:sz w:val="24"/>
          <w:szCs w:val="24"/>
        </w:rPr>
        <w:t>Fuel Cells</w:t>
      </w:r>
      <w:r w:rsidRPr="00115381">
        <w:rPr>
          <w:sz w:val="24"/>
          <w:szCs w:val="24"/>
          <w:rtl/>
        </w:rPr>
        <w:t>, נבחרו כמקור אנרגיה עתידי של יפן. ביפן נערכים לייצור מימן, </w:t>
      </w:r>
      <w:r w:rsidRPr="00115381">
        <w:rPr>
          <w:sz w:val="24"/>
          <w:szCs w:val="24"/>
        </w:rPr>
        <w:t>H2(g)</w:t>
      </w:r>
      <w:r w:rsidRPr="00115381">
        <w:rPr>
          <w:sz w:val="24"/>
          <w:szCs w:val="24"/>
          <w:rtl/>
        </w:rPr>
        <w:t>, ממקורות אנרגיה מתחדשים שאינם פוגעים באיכות הסביבה, כמו שמש ורוח.</w:t>
      </w:r>
    </w:p>
    <w:p w14:paraId="6836E345" w14:textId="77777777" w:rsidR="00115381" w:rsidRPr="00115381" w:rsidRDefault="00115381" w:rsidP="00115381">
      <w:pPr>
        <w:bidi/>
        <w:rPr>
          <w:sz w:val="24"/>
          <w:szCs w:val="24"/>
          <w:rtl/>
        </w:rPr>
      </w:pPr>
      <w:r w:rsidRPr="00115381">
        <w:rPr>
          <w:sz w:val="24"/>
          <w:szCs w:val="24"/>
          <w:rtl/>
        </w:rPr>
        <w:t>הממשלה מעודדת את התושבים לרכוש מכוניות מונעות בתאי דלק, ובשלב ראשון כל תושב מקבל החזר של כ- 20,000 דולר במהלך רכישת הרכב. הממשלה תסבסד בניית תשתיות של תחנות דלק המתדלקות במימן.</w:t>
      </w:r>
    </w:p>
    <w:p w14:paraId="1BD54527" w14:textId="4B4179E7" w:rsidR="00115381" w:rsidRPr="00115381" w:rsidRDefault="00115381" w:rsidP="007F0EC4">
      <w:pPr>
        <w:bidi/>
        <w:rPr>
          <w:sz w:val="24"/>
          <w:szCs w:val="24"/>
          <w:rtl/>
        </w:rPr>
      </w:pPr>
      <w:r w:rsidRPr="00115381">
        <w:rPr>
          <w:sz w:val="24"/>
          <w:szCs w:val="24"/>
          <w:rtl/>
        </w:rPr>
        <w:lastRenderedPageBreak/>
        <w:t>במטרה להוביל מהפך בתחום, האולימפיאדה שתתקיים ב- 2020 בטוקיו יפן, תהייה מושתתת על רכבים ומקורות אנרגיה שמקורם במימן. בהתאם נערכים ביפן מחקרים מובילים בתחום. </w:t>
      </w:r>
    </w:p>
    <w:p w14:paraId="5FCA9885" w14:textId="77777777" w:rsidR="00115381" w:rsidRPr="00115381" w:rsidRDefault="00115381" w:rsidP="00115381">
      <w:pPr>
        <w:bidi/>
        <w:rPr>
          <w:sz w:val="24"/>
          <w:szCs w:val="24"/>
          <w:rtl/>
        </w:rPr>
      </w:pPr>
      <w:r w:rsidRPr="00115381">
        <w:rPr>
          <w:sz w:val="24"/>
          <w:szCs w:val="24"/>
          <w:rtl/>
        </w:rPr>
        <w:t>אוטובוס בו מקור האנרגיה הוא תאי דלק, </w:t>
      </w:r>
      <w:r w:rsidRPr="00115381">
        <w:rPr>
          <w:sz w:val="24"/>
          <w:szCs w:val="24"/>
        </w:rPr>
        <w:t>Fuel Cells</w:t>
      </w:r>
      <w:r w:rsidRPr="00115381">
        <w:rPr>
          <w:sz w:val="24"/>
          <w:szCs w:val="24"/>
          <w:rtl/>
        </w:rPr>
        <w:t>, ביפן:</w:t>
      </w:r>
    </w:p>
    <w:p w14:paraId="7A4A1EB9" w14:textId="7BDF95F3" w:rsidR="00115381" w:rsidRPr="00115381" w:rsidRDefault="00115381" w:rsidP="00115381">
      <w:pPr>
        <w:bidi/>
        <w:rPr>
          <w:sz w:val="24"/>
          <w:szCs w:val="24"/>
          <w:rtl/>
        </w:rPr>
      </w:pPr>
      <w:r w:rsidRPr="00115381">
        <w:rPr>
          <w:sz w:val="24"/>
          <w:szCs w:val="24"/>
        </w:rPr>
        <w:drawing>
          <wp:inline distT="0" distB="0" distL="0" distR="0" wp14:anchorId="07EFA5FA" wp14:editId="33C9FACE">
            <wp:extent cx="5570220" cy="3002280"/>
            <wp:effectExtent l="0" t="0" r="0" b="7620"/>
            <wp:docPr id="1359377534" name="Picture 14" descr="אוטובוס מונע במימ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77534" name="Picture 14" descr="אוטובוס מונע במימן"/>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0220" cy="3002280"/>
                    </a:xfrm>
                    <a:prstGeom prst="rect">
                      <a:avLst/>
                    </a:prstGeom>
                    <a:noFill/>
                    <a:ln>
                      <a:noFill/>
                    </a:ln>
                  </pic:spPr>
                </pic:pic>
              </a:graphicData>
            </a:graphic>
          </wp:inline>
        </w:drawing>
      </w:r>
    </w:p>
    <w:p w14:paraId="5DB26107" w14:textId="77777777" w:rsidR="00955E97" w:rsidRPr="00E420E1" w:rsidRDefault="00955E97" w:rsidP="00A14184">
      <w:pPr>
        <w:bidi/>
        <w:rPr>
          <w:sz w:val="24"/>
          <w:szCs w:val="24"/>
        </w:rPr>
      </w:pPr>
    </w:p>
    <w:sectPr w:rsidR="00955E97" w:rsidRPr="00E420E1" w:rsidSect="00A1418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A5DC3"/>
    <w:multiLevelType w:val="multilevel"/>
    <w:tmpl w:val="BB6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6" w15:restartNumberingAfterBreak="0">
    <w:nsid w:val="40262FFE"/>
    <w:multiLevelType w:val="multilevel"/>
    <w:tmpl w:val="C4D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8C31BA"/>
    <w:multiLevelType w:val="multilevel"/>
    <w:tmpl w:val="F7B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D706E"/>
    <w:multiLevelType w:val="multilevel"/>
    <w:tmpl w:val="02E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C74AD9"/>
    <w:multiLevelType w:val="multilevel"/>
    <w:tmpl w:val="6594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9F4D06"/>
    <w:multiLevelType w:val="multilevel"/>
    <w:tmpl w:val="2B6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28"/>
  </w:num>
  <w:num w:numId="2" w16cid:durableId="235094947">
    <w:abstractNumId w:val="30"/>
  </w:num>
  <w:num w:numId="3" w16cid:durableId="29494914">
    <w:abstractNumId w:val="33"/>
  </w:num>
  <w:num w:numId="4" w16cid:durableId="688995404">
    <w:abstractNumId w:val="20"/>
  </w:num>
  <w:num w:numId="5" w16cid:durableId="1411348056">
    <w:abstractNumId w:val="19"/>
  </w:num>
  <w:num w:numId="6" w16cid:durableId="924727170">
    <w:abstractNumId w:val="26"/>
  </w:num>
  <w:num w:numId="7" w16cid:durableId="1380593615">
    <w:abstractNumId w:val="9"/>
  </w:num>
  <w:num w:numId="8" w16cid:durableId="1207765425">
    <w:abstractNumId w:val="1"/>
  </w:num>
  <w:num w:numId="9" w16cid:durableId="593250349">
    <w:abstractNumId w:val="10"/>
  </w:num>
  <w:num w:numId="10" w16cid:durableId="1571768886">
    <w:abstractNumId w:val="2"/>
  </w:num>
  <w:num w:numId="11" w16cid:durableId="2084638722">
    <w:abstractNumId w:val="17"/>
  </w:num>
  <w:num w:numId="12" w16cid:durableId="899094656">
    <w:abstractNumId w:val="22"/>
  </w:num>
  <w:num w:numId="13" w16cid:durableId="593516527">
    <w:abstractNumId w:val="3"/>
  </w:num>
  <w:num w:numId="14" w16cid:durableId="929436872">
    <w:abstractNumId w:val="18"/>
  </w:num>
  <w:num w:numId="15" w16cid:durableId="2002274043">
    <w:abstractNumId w:val="34"/>
  </w:num>
  <w:num w:numId="16" w16cid:durableId="2131194738">
    <w:abstractNumId w:val="24"/>
  </w:num>
  <w:num w:numId="17" w16cid:durableId="27533073">
    <w:abstractNumId w:val="11"/>
  </w:num>
  <w:num w:numId="18" w16cid:durableId="1934585584">
    <w:abstractNumId w:val="5"/>
  </w:num>
  <w:num w:numId="19" w16cid:durableId="960571216">
    <w:abstractNumId w:val="14"/>
  </w:num>
  <w:num w:numId="20" w16cid:durableId="12541158">
    <w:abstractNumId w:val="31"/>
  </w:num>
  <w:num w:numId="21" w16cid:durableId="729694468">
    <w:abstractNumId w:val="8"/>
  </w:num>
  <w:num w:numId="22" w16cid:durableId="1091437048">
    <w:abstractNumId w:val="32"/>
  </w:num>
  <w:num w:numId="23" w16cid:durableId="371344088">
    <w:abstractNumId w:val="12"/>
  </w:num>
  <w:num w:numId="24" w16cid:durableId="1659074932">
    <w:abstractNumId w:val="4"/>
  </w:num>
  <w:num w:numId="25" w16cid:durableId="1258759006">
    <w:abstractNumId w:val="6"/>
  </w:num>
  <w:num w:numId="26" w16cid:durableId="2085375352">
    <w:abstractNumId w:val="13"/>
  </w:num>
  <w:num w:numId="27" w16cid:durableId="1493176826">
    <w:abstractNumId w:val="21"/>
  </w:num>
  <w:num w:numId="28" w16cid:durableId="53629807">
    <w:abstractNumId w:val="0"/>
  </w:num>
  <w:num w:numId="29" w16cid:durableId="691612443">
    <w:abstractNumId w:val="15"/>
  </w:num>
  <w:num w:numId="30" w16cid:durableId="166681133">
    <w:abstractNumId w:val="29"/>
  </w:num>
  <w:num w:numId="31" w16cid:durableId="1105347607">
    <w:abstractNumId w:val="16"/>
  </w:num>
  <w:num w:numId="32" w16cid:durableId="565644984">
    <w:abstractNumId w:val="27"/>
  </w:num>
  <w:num w:numId="33" w16cid:durableId="1625189652">
    <w:abstractNumId w:val="23"/>
  </w:num>
  <w:num w:numId="34" w16cid:durableId="1314019949">
    <w:abstractNumId w:val="7"/>
  </w:num>
  <w:num w:numId="35" w16cid:durableId="8671081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115381"/>
    <w:rsid w:val="001670FA"/>
    <w:rsid w:val="0022171C"/>
    <w:rsid w:val="003F68A3"/>
    <w:rsid w:val="00426C1C"/>
    <w:rsid w:val="004A1A2B"/>
    <w:rsid w:val="00632EFB"/>
    <w:rsid w:val="006448B3"/>
    <w:rsid w:val="007F0EC4"/>
    <w:rsid w:val="00955E97"/>
    <w:rsid w:val="00A14184"/>
    <w:rsid w:val="00A57D98"/>
    <w:rsid w:val="00BA58BD"/>
    <w:rsid w:val="00D357E6"/>
    <w:rsid w:val="00E04FFF"/>
    <w:rsid w:val="00E420E1"/>
    <w:rsid w:val="00F910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 w:type="character" w:styleId="FollowedHyperlink">
    <w:name w:val="FollowedHyperlink"/>
    <w:basedOn w:val="DefaultParagraphFont"/>
    <w:uiPriority w:val="99"/>
    <w:semiHidden/>
    <w:unhideWhenUsed/>
    <w:rsid w:val="00A14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ov.il/BudgetSite/statebudget/BUDGET2019/MINISTERIESBUDGET/Foundations/DocLib/TashtiyotEnergyWater_Main.pdf" TargetMode="External"/><Relationship Id="rId3" Type="http://schemas.openxmlformats.org/officeDocument/2006/relationships/settings" Target="settings.xml"/><Relationship Id="rId7" Type="http://schemas.openxmlformats.org/officeDocument/2006/relationships/hyperlink" Target="https://energy.org.il/%D7%94%D7%A9%D7%99%D7%9E%D7%95%D7%A9-%D7%91%D7%9E%D7%99%D7%9E%D7%9F-%D7%9E%D7%AA%D7%A8%D7%97%D7%9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hemcenter.weizmann.ac.il/_Uploads/dbsArticles/mayman2.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3</cp:revision>
  <dcterms:created xsi:type="dcterms:W3CDTF">2026-01-28T11:34:00Z</dcterms:created>
  <dcterms:modified xsi:type="dcterms:W3CDTF">2026-01-28T11:36:00Z</dcterms:modified>
</cp:coreProperties>
</file>